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15B1C" w14:textId="4BC64A1C" w:rsidR="00741E08" w:rsidRPr="00741E08" w:rsidRDefault="00741E08" w:rsidP="00741E08">
      <w:pPr>
        <w:pStyle w:val="Title"/>
        <w:tabs>
          <w:tab w:val="left" w:pos="0"/>
        </w:tabs>
        <w:spacing w:after="160" w:line="249" w:lineRule="auto"/>
        <w:ind w:left="-720" w:right="-720"/>
        <w:jc w:val="left"/>
        <w:rPr>
          <w:rFonts w:ascii="Calibri Light" w:eastAsia="MS Gothic" w:hAnsi="Calibri Light"/>
          <w:i/>
          <w:color w:val="003DA5"/>
          <w:sz w:val="56"/>
          <w:szCs w:val="56"/>
        </w:rPr>
      </w:pPr>
      <w:bookmarkStart w:id="0" w:name="_GoBack"/>
      <w:bookmarkEnd w:id="0"/>
    </w:p>
    <w:p w14:paraId="5520FC70" w14:textId="77777777" w:rsidR="00741E08" w:rsidRPr="00741E08" w:rsidRDefault="00741E08" w:rsidP="00A6539C">
      <w:pPr>
        <w:tabs>
          <w:tab w:val="left" w:pos="-90"/>
          <w:tab w:val="left" w:pos="8910"/>
        </w:tabs>
        <w:spacing w:line="640" w:lineRule="exact"/>
        <w:ind w:left="-720" w:right="-720"/>
        <w:rPr>
          <w:rFonts w:ascii="Calibri Light" w:hAnsi="Calibri Light"/>
          <w:b/>
          <w:smallCaps/>
          <w:color w:val="003DA5"/>
          <w:sz w:val="72"/>
          <w:szCs w:val="72"/>
        </w:rPr>
      </w:pPr>
      <w:r w:rsidRPr="00741E08">
        <w:rPr>
          <w:b/>
          <w:color w:val="003DA5"/>
          <w:sz w:val="52"/>
          <w:szCs w:val="52"/>
        </w:rPr>
        <w:tab/>
      </w:r>
      <w:r w:rsidRPr="00741E08">
        <w:rPr>
          <w:rFonts w:ascii="Calibri Light" w:hAnsi="Calibri Light"/>
          <w:b/>
          <w:smallCaps/>
          <w:color w:val="003DA5"/>
          <w:sz w:val="72"/>
          <w:szCs w:val="72"/>
        </w:rPr>
        <w:t xml:space="preserve">The Rural Principal’s Guide to </w:t>
      </w:r>
      <w:r w:rsidRPr="00741E08">
        <w:rPr>
          <w:rFonts w:ascii="Calibri Light" w:hAnsi="Calibri Light"/>
          <w:b/>
          <w:smallCaps/>
          <w:color w:val="003DA5"/>
          <w:sz w:val="72"/>
          <w:szCs w:val="72"/>
        </w:rPr>
        <w:br/>
        <w:t xml:space="preserve">     Dropout Prevention</w:t>
      </w:r>
    </w:p>
    <w:p w14:paraId="6D814886" w14:textId="77777777" w:rsidR="00741E08" w:rsidRPr="009B1E5A" w:rsidRDefault="00741E08" w:rsidP="00741E08">
      <w:pPr>
        <w:rPr>
          <w:rFonts w:ascii="Calibri Light" w:hAnsi="Calibri Light"/>
        </w:rPr>
      </w:pPr>
    </w:p>
    <w:p w14:paraId="13C835D7" w14:textId="77777777" w:rsidR="00741E08" w:rsidRPr="009B1E5A" w:rsidRDefault="00741E08" w:rsidP="00741E08">
      <w:pPr>
        <w:rPr>
          <w:rFonts w:ascii="Calibri Light" w:hAnsi="Calibri Light"/>
        </w:rPr>
      </w:pPr>
    </w:p>
    <w:p w14:paraId="02C64802" w14:textId="77777777" w:rsidR="00741E08" w:rsidRPr="009B1E5A" w:rsidRDefault="00741E08" w:rsidP="00741E08">
      <w:pPr>
        <w:rPr>
          <w:rFonts w:ascii="Calibri Light" w:hAnsi="Calibri Light" w:cs="Times New Roman"/>
          <w:b/>
          <w:bCs/>
          <w:color w:val="003DA5"/>
          <w:sz w:val="32"/>
          <w:szCs w:val="32"/>
        </w:rPr>
      </w:pPr>
      <w:r w:rsidRPr="009B1E5A">
        <w:rPr>
          <w:rFonts w:ascii="Calibri Light" w:hAnsi="Calibri Light" w:cs="Times New Roman"/>
          <w:b/>
          <w:bCs/>
          <w:color w:val="003DA5"/>
          <w:sz w:val="32"/>
          <w:szCs w:val="32"/>
        </w:rPr>
        <w:t xml:space="preserve">Sandy Addis, </w:t>
      </w:r>
      <w:proofErr w:type="spellStart"/>
      <w:r w:rsidRPr="009B1E5A">
        <w:rPr>
          <w:rFonts w:ascii="Calibri Light" w:hAnsi="Calibri Light" w:cs="Times New Roman"/>
          <w:b/>
          <w:bCs/>
          <w:color w:val="003DA5"/>
          <w:sz w:val="32"/>
          <w:szCs w:val="32"/>
        </w:rPr>
        <w:t>EdD</w:t>
      </w:r>
      <w:proofErr w:type="spellEnd"/>
    </w:p>
    <w:p w14:paraId="0BC53279" w14:textId="77777777" w:rsidR="00741E08" w:rsidRPr="009B1E5A" w:rsidRDefault="00741E08" w:rsidP="00741E08">
      <w:pPr>
        <w:rPr>
          <w:rFonts w:ascii="Calibri Light" w:hAnsi="Calibri Light" w:cs="Times New Roman"/>
          <w:color w:val="003DA5"/>
          <w:szCs w:val="24"/>
        </w:rPr>
      </w:pPr>
      <w:r w:rsidRPr="009B1E5A">
        <w:rPr>
          <w:rFonts w:ascii="Calibri Light" w:hAnsi="Calibri Light" w:cs="Times New Roman"/>
          <w:color w:val="003DA5"/>
          <w:szCs w:val="24"/>
        </w:rPr>
        <w:t>Executive Director</w:t>
      </w:r>
    </w:p>
    <w:p w14:paraId="272DF2D9" w14:textId="77777777" w:rsidR="00741E08" w:rsidRPr="009B1E5A" w:rsidRDefault="00741E08" w:rsidP="00741E08">
      <w:pPr>
        <w:rPr>
          <w:rFonts w:ascii="Calibri Light" w:hAnsi="Calibri Light" w:cs="Times New Roman"/>
          <w:color w:val="003DA5"/>
          <w:szCs w:val="24"/>
        </w:rPr>
      </w:pPr>
      <w:r w:rsidRPr="009B1E5A">
        <w:rPr>
          <w:rFonts w:ascii="Calibri Light" w:hAnsi="Calibri Light" w:cs="Times New Roman"/>
          <w:color w:val="003DA5"/>
          <w:szCs w:val="24"/>
        </w:rPr>
        <w:t>National Dropout Prevention Center/Network</w:t>
      </w:r>
    </w:p>
    <w:p w14:paraId="28CA43B8" w14:textId="77777777" w:rsidR="00741E08" w:rsidRPr="009B1E5A" w:rsidRDefault="00741E08" w:rsidP="00741E08">
      <w:pPr>
        <w:rPr>
          <w:rFonts w:ascii="Calibri Light" w:hAnsi="Calibri Light" w:cs="Times New Roman"/>
          <w:color w:val="003DA5"/>
          <w:szCs w:val="24"/>
        </w:rPr>
      </w:pPr>
    </w:p>
    <w:p w14:paraId="7294ACB7" w14:textId="77777777" w:rsidR="00741E08" w:rsidRPr="009B1E5A" w:rsidRDefault="00741E08" w:rsidP="00741E08">
      <w:pPr>
        <w:rPr>
          <w:rFonts w:ascii="Calibri Light" w:hAnsi="Calibri Light" w:cs="Times New Roman"/>
          <w:b/>
          <w:color w:val="003DA5"/>
          <w:sz w:val="32"/>
          <w:szCs w:val="32"/>
        </w:rPr>
      </w:pPr>
      <w:r w:rsidRPr="009B1E5A">
        <w:rPr>
          <w:rFonts w:ascii="Calibri Light" w:hAnsi="Calibri Light" w:cs="Times New Roman"/>
          <w:b/>
          <w:color w:val="003DA5"/>
          <w:sz w:val="32"/>
          <w:szCs w:val="32"/>
        </w:rPr>
        <w:t xml:space="preserve">Sandy Bales, </w:t>
      </w:r>
      <w:proofErr w:type="spellStart"/>
      <w:r w:rsidRPr="009B1E5A">
        <w:rPr>
          <w:rFonts w:ascii="Calibri Light" w:hAnsi="Calibri Light" w:cs="Times New Roman"/>
          <w:b/>
          <w:color w:val="003DA5"/>
          <w:sz w:val="32"/>
          <w:szCs w:val="32"/>
        </w:rPr>
        <w:t>EdD</w:t>
      </w:r>
      <w:proofErr w:type="spellEnd"/>
    </w:p>
    <w:p w14:paraId="4CB2D9E2" w14:textId="77777777" w:rsidR="00741E08" w:rsidRPr="009B1E5A" w:rsidRDefault="00741E08" w:rsidP="00741E08">
      <w:pPr>
        <w:rPr>
          <w:rFonts w:ascii="Calibri Light" w:hAnsi="Calibri Light" w:cs="Times New Roman"/>
          <w:color w:val="003DA5"/>
          <w:szCs w:val="24"/>
        </w:rPr>
      </w:pPr>
      <w:r w:rsidRPr="009B1E5A">
        <w:rPr>
          <w:rFonts w:ascii="Calibri Light" w:hAnsi="Calibri Light" w:cs="Times New Roman"/>
          <w:color w:val="003DA5"/>
          <w:szCs w:val="24"/>
        </w:rPr>
        <w:t>Consultant</w:t>
      </w:r>
    </w:p>
    <w:p w14:paraId="045D9CD4" w14:textId="77777777" w:rsidR="00741E08" w:rsidRPr="009B1E5A" w:rsidRDefault="00741E08" w:rsidP="00741E08">
      <w:pPr>
        <w:rPr>
          <w:rFonts w:ascii="Calibri Light" w:hAnsi="Calibri Light" w:cs="Times New Roman"/>
          <w:b/>
          <w:bCs/>
          <w:color w:val="003DA5"/>
          <w:szCs w:val="24"/>
        </w:rPr>
      </w:pPr>
      <w:r w:rsidRPr="009B1E5A">
        <w:rPr>
          <w:rFonts w:ascii="Calibri Light" w:hAnsi="Calibri Light" w:cs="Times New Roman"/>
          <w:color w:val="003DA5"/>
          <w:szCs w:val="24"/>
        </w:rPr>
        <w:t>National Dropout Prevention Center/Network</w:t>
      </w:r>
    </w:p>
    <w:p w14:paraId="16562FCF" w14:textId="77777777" w:rsidR="00741E08" w:rsidRPr="009B1E5A" w:rsidRDefault="00741E08" w:rsidP="00741E08">
      <w:pPr>
        <w:rPr>
          <w:rFonts w:ascii="Calibri Light" w:hAnsi="Calibri Light" w:cs="Times New Roman"/>
          <w:bCs/>
          <w:color w:val="003DA5"/>
          <w:szCs w:val="24"/>
        </w:rPr>
      </w:pPr>
    </w:p>
    <w:p w14:paraId="0374D3EC" w14:textId="77777777" w:rsidR="00741E08" w:rsidRPr="009B1E5A" w:rsidRDefault="00741E08" w:rsidP="00741E08">
      <w:pPr>
        <w:rPr>
          <w:rFonts w:ascii="Calibri Light" w:hAnsi="Calibri Light" w:cs="Times New Roman"/>
          <w:b/>
          <w:bCs/>
          <w:color w:val="003DA5"/>
          <w:sz w:val="32"/>
          <w:szCs w:val="32"/>
        </w:rPr>
      </w:pPr>
      <w:r w:rsidRPr="009B1E5A">
        <w:rPr>
          <w:rFonts w:ascii="Calibri Light" w:hAnsi="Calibri Light" w:cs="Times New Roman"/>
          <w:b/>
          <w:bCs/>
          <w:color w:val="003DA5"/>
          <w:sz w:val="32"/>
          <w:szCs w:val="32"/>
        </w:rPr>
        <w:t xml:space="preserve">Richard </w:t>
      </w:r>
      <w:proofErr w:type="spellStart"/>
      <w:r w:rsidRPr="009B1E5A">
        <w:rPr>
          <w:rFonts w:ascii="Calibri Light" w:hAnsi="Calibri Light" w:cs="Times New Roman"/>
          <w:b/>
          <w:bCs/>
          <w:color w:val="003DA5"/>
          <w:sz w:val="32"/>
          <w:szCs w:val="32"/>
        </w:rPr>
        <w:t>Krise</w:t>
      </w:r>
      <w:proofErr w:type="spellEnd"/>
      <w:r w:rsidRPr="009B1E5A">
        <w:rPr>
          <w:rFonts w:ascii="Calibri Light" w:hAnsi="Calibri Light" w:cs="Times New Roman"/>
          <w:b/>
          <w:bCs/>
          <w:color w:val="003DA5"/>
          <w:sz w:val="32"/>
          <w:szCs w:val="32"/>
        </w:rPr>
        <w:t xml:space="preserve">, </w:t>
      </w:r>
      <w:proofErr w:type="spellStart"/>
      <w:r w:rsidRPr="009B1E5A">
        <w:rPr>
          <w:rFonts w:ascii="Calibri Light" w:hAnsi="Calibri Light" w:cs="Times New Roman"/>
          <w:b/>
          <w:bCs/>
          <w:color w:val="003DA5"/>
          <w:sz w:val="32"/>
          <w:szCs w:val="32"/>
        </w:rPr>
        <w:t>EdD</w:t>
      </w:r>
      <w:proofErr w:type="spellEnd"/>
    </w:p>
    <w:p w14:paraId="33F2AF4B" w14:textId="77777777" w:rsidR="00741E08" w:rsidRPr="009B1E5A" w:rsidRDefault="00741E08" w:rsidP="00741E08">
      <w:pPr>
        <w:rPr>
          <w:rFonts w:ascii="Calibri Light" w:hAnsi="Calibri Light" w:cs="Times New Roman"/>
          <w:color w:val="003DA5"/>
          <w:szCs w:val="24"/>
        </w:rPr>
      </w:pPr>
      <w:r w:rsidRPr="009B1E5A">
        <w:rPr>
          <w:rFonts w:ascii="Calibri Light" w:hAnsi="Calibri Light" w:cs="Times New Roman"/>
          <w:color w:val="003DA5"/>
          <w:szCs w:val="24"/>
        </w:rPr>
        <w:t>Technical Assistance Coordinator</w:t>
      </w:r>
    </w:p>
    <w:p w14:paraId="003BB0AF" w14:textId="77777777" w:rsidR="00741E08" w:rsidRPr="009B1E5A" w:rsidRDefault="00741E08" w:rsidP="00741E08">
      <w:pPr>
        <w:rPr>
          <w:rFonts w:ascii="Calibri Light" w:hAnsi="Calibri Light" w:cs="Times New Roman"/>
          <w:color w:val="003DA5"/>
          <w:szCs w:val="24"/>
        </w:rPr>
      </w:pPr>
      <w:r w:rsidRPr="009B1E5A">
        <w:rPr>
          <w:rFonts w:ascii="Calibri Light" w:hAnsi="Calibri Light" w:cs="Times New Roman"/>
          <w:color w:val="003DA5"/>
          <w:szCs w:val="24"/>
        </w:rPr>
        <w:t>National Dropout Prevention Center/Network</w:t>
      </w:r>
    </w:p>
    <w:p w14:paraId="0CF5D449" w14:textId="77777777" w:rsidR="00741E08" w:rsidRPr="009B1E5A" w:rsidRDefault="00741E08" w:rsidP="00741E08">
      <w:pPr>
        <w:rPr>
          <w:rFonts w:ascii="Calibri Light" w:hAnsi="Calibri Light" w:cs="Times New Roman"/>
          <w:color w:val="003DA5"/>
          <w:szCs w:val="24"/>
        </w:rPr>
      </w:pPr>
    </w:p>
    <w:p w14:paraId="4DDDBC87" w14:textId="77777777" w:rsidR="00741E08" w:rsidRDefault="00741E08" w:rsidP="00741E08">
      <w:pPr>
        <w:rPr>
          <w:rFonts w:ascii="Calibri Light" w:hAnsi="Calibri Light" w:cs="Times New Roman"/>
          <w:color w:val="003DA5"/>
          <w:szCs w:val="24"/>
        </w:rPr>
      </w:pPr>
    </w:p>
    <w:p w14:paraId="109C5060" w14:textId="77777777" w:rsidR="00A6539C" w:rsidRPr="009B1E5A" w:rsidRDefault="00A6539C" w:rsidP="00741E08">
      <w:pPr>
        <w:rPr>
          <w:rFonts w:ascii="Calibri Light" w:hAnsi="Calibri Light" w:cs="Times New Roman"/>
          <w:color w:val="003DA5"/>
          <w:szCs w:val="24"/>
        </w:rPr>
      </w:pPr>
    </w:p>
    <w:p w14:paraId="4E965E40" w14:textId="77777777" w:rsidR="00741E08" w:rsidRPr="00741E08" w:rsidRDefault="00741E08" w:rsidP="00741E08">
      <w:pPr>
        <w:rPr>
          <w:rFonts w:ascii="Calibri Light" w:hAnsi="Calibri Light" w:cs="Times New Roman"/>
          <w:b/>
          <w:color w:val="003DA5"/>
          <w:sz w:val="32"/>
          <w:szCs w:val="32"/>
        </w:rPr>
      </w:pPr>
      <w:r w:rsidRPr="00741E08">
        <w:rPr>
          <w:rFonts w:ascii="Calibri Light" w:hAnsi="Calibri Light" w:cs="Times New Roman"/>
          <w:b/>
          <w:color w:val="003DA5"/>
          <w:sz w:val="32"/>
          <w:szCs w:val="32"/>
        </w:rPr>
        <w:t>July 2017</w:t>
      </w:r>
    </w:p>
    <w:p w14:paraId="79AA9849" w14:textId="77777777" w:rsidR="00741E08" w:rsidRPr="009B1E5A" w:rsidRDefault="00741E08" w:rsidP="00741E08">
      <w:pPr>
        <w:rPr>
          <w:rFonts w:ascii="Calibri Light" w:hAnsi="Calibri Light" w:cs="Times New Roman"/>
          <w:sz w:val="22"/>
        </w:rPr>
      </w:pPr>
    </w:p>
    <w:p w14:paraId="20A11CF6" w14:textId="77777777" w:rsidR="00741E08" w:rsidRPr="009B1E5A" w:rsidRDefault="00741E08" w:rsidP="00741E08">
      <w:pPr>
        <w:rPr>
          <w:rFonts w:ascii="Calibri Light" w:hAnsi="Calibri Light" w:cs="Times New Roman"/>
          <w:sz w:val="22"/>
        </w:rPr>
      </w:pPr>
    </w:p>
    <w:p w14:paraId="5FE0C755" w14:textId="77777777" w:rsidR="00741E08" w:rsidRPr="009B1E5A" w:rsidRDefault="00741E08" w:rsidP="00741E08">
      <w:pPr>
        <w:rPr>
          <w:rFonts w:ascii="Calibri Light" w:hAnsi="Calibri Light" w:cs="Times New Roman"/>
          <w:sz w:val="22"/>
        </w:rPr>
      </w:pPr>
    </w:p>
    <w:p w14:paraId="5CDD8834" w14:textId="77777777" w:rsidR="00741E08" w:rsidRPr="009B1E5A" w:rsidRDefault="00741E08" w:rsidP="00741E08">
      <w:pPr>
        <w:rPr>
          <w:rFonts w:ascii="Calibri Light" w:hAnsi="Calibri Light" w:cs="Times New Roman"/>
          <w:sz w:val="22"/>
        </w:rPr>
      </w:pPr>
    </w:p>
    <w:p w14:paraId="39BF2AB4" w14:textId="77777777" w:rsidR="00741E08" w:rsidRPr="009B1E5A" w:rsidRDefault="00741E08" w:rsidP="00741E08">
      <w:pPr>
        <w:rPr>
          <w:rFonts w:ascii="Calibri Light" w:hAnsi="Calibri Light" w:cs="Times New Roman"/>
          <w:sz w:val="22"/>
        </w:rPr>
      </w:pPr>
    </w:p>
    <w:p w14:paraId="75D5FFDF" w14:textId="77777777" w:rsidR="00741E08" w:rsidRDefault="00741E08" w:rsidP="00741E08">
      <w:pPr>
        <w:rPr>
          <w:rFonts w:ascii="Calibri Light" w:hAnsi="Calibri Light" w:cs="Times New Roman"/>
          <w:sz w:val="22"/>
        </w:rPr>
      </w:pPr>
    </w:p>
    <w:p w14:paraId="5AA6A24A" w14:textId="77777777" w:rsidR="00A6539C" w:rsidRDefault="00A6539C" w:rsidP="00741E08">
      <w:pPr>
        <w:rPr>
          <w:rFonts w:ascii="Calibri Light" w:hAnsi="Calibri Light" w:cs="Times New Roman"/>
          <w:sz w:val="22"/>
        </w:rPr>
      </w:pPr>
    </w:p>
    <w:p w14:paraId="2DC60EF7" w14:textId="77777777" w:rsidR="00741E08" w:rsidRPr="009B1E5A" w:rsidRDefault="00741E08" w:rsidP="00741E08">
      <w:pPr>
        <w:rPr>
          <w:rFonts w:ascii="Calibri Light" w:hAnsi="Calibri Light" w:cs="Times New Roman"/>
          <w:sz w:val="22"/>
        </w:rPr>
      </w:pPr>
    </w:p>
    <w:p w14:paraId="2238E470" w14:textId="77777777" w:rsidR="00741E08" w:rsidRPr="009B1E5A" w:rsidRDefault="00741E08" w:rsidP="00741E08">
      <w:pPr>
        <w:rPr>
          <w:rFonts w:ascii="Calibri Light" w:hAnsi="Calibri Light" w:cs="Times New Roman"/>
          <w:sz w:val="22"/>
        </w:rPr>
      </w:pPr>
    </w:p>
    <w:p w14:paraId="7BA053D5" w14:textId="77777777" w:rsidR="00741E08" w:rsidRPr="007F3189" w:rsidRDefault="00741E08" w:rsidP="00741E08">
      <w:pPr>
        <w:rPr>
          <w:rFonts w:cs="Times New Roman"/>
          <w:i/>
          <w:szCs w:val="24"/>
        </w:rPr>
      </w:pPr>
      <w:r>
        <w:rPr>
          <w:rFonts w:cs="Times New Roman"/>
          <w:i/>
          <w:szCs w:val="24"/>
        </w:rPr>
        <w:t>The Rural Principal’s Guide to</w:t>
      </w:r>
      <w:r w:rsidRPr="00250EA1">
        <w:rPr>
          <w:rFonts w:cs="Times New Roman"/>
          <w:i/>
          <w:szCs w:val="24"/>
        </w:rPr>
        <w:t xml:space="preserve"> Dropout Prevention</w:t>
      </w:r>
      <w:r>
        <w:rPr>
          <w:rFonts w:cs="Times New Roman"/>
          <w:szCs w:val="24"/>
        </w:rPr>
        <w:t xml:space="preserve"> was developed through funding provided by the U.S. Department of Education as part of the High School Graduation Initiative Program.</w:t>
      </w:r>
    </w:p>
    <w:p w14:paraId="50BD0698" w14:textId="77777777" w:rsidR="00741E08" w:rsidRPr="007F3189" w:rsidRDefault="00741E08" w:rsidP="00741E08">
      <w:pPr>
        <w:rPr>
          <w:rFonts w:cs="Times New Roman"/>
          <w:szCs w:val="24"/>
        </w:rPr>
      </w:pPr>
    </w:p>
    <w:p w14:paraId="2612060E" w14:textId="2B2BD63A" w:rsidR="002C46B2" w:rsidRDefault="00741E08" w:rsidP="00741E08">
      <w:pPr>
        <w:pBdr>
          <w:top w:val="single" w:sz="4" w:space="6" w:color="auto"/>
          <w:left w:val="single" w:sz="4" w:space="6" w:color="auto"/>
          <w:bottom w:val="single" w:sz="4" w:space="6" w:color="auto"/>
          <w:right w:val="single" w:sz="4" w:space="6" w:color="auto"/>
        </w:pBdr>
        <w:rPr>
          <w:rFonts w:cs="Times New Roman"/>
          <w:szCs w:val="24"/>
        </w:rPr>
      </w:pPr>
      <w:r w:rsidRPr="007F3189">
        <w:rPr>
          <w:rFonts w:cs="Times New Roman"/>
          <w:szCs w:val="24"/>
        </w:rPr>
        <w:t>The views expressed herein do not necessarily represent the positions or policies of the U.S. Department of Education. No official endorsement by the U.S. Department of Education of any product, commodity, service, or enterprise mentioned in this publication is</w:t>
      </w:r>
      <w:r>
        <w:rPr>
          <w:rFonts w:cs="Times New Roman"/>
          <w:szCs w:val="24"/>
        </w:rPr>
        <w:t xml:space="preserve"> intended or should be inferred.</w:t>
      </w:r>
    </w:p>
    <w:p w14:paraId="217D0BBD" w14:textId="77777777" w:rsidR="002C46B2" w:rsidRDefault="002C46B2" w:rsidP="00AB1086">
      <w:pPr>
        <w:pBdr>
          <w:top w:val="single" w:sz="4" w:space="3" w:color="auto"/>
          <w:left w:val="single" w:sz="4" w:space="4" w:color="auto"/>
          <w:bottom w:val="single" w:sz="4" w:space="3" w:color="auto"/>
          <w:right w:val="single" w:sz="4" w:space="4" w:color="auto"/>
        </w:pBdr>
        <w:spacing w:before="120" w:after="120"/>
        <w:rPr>
          <w:rFonts w:cs="Times New Roman"/>
          <w:szCs w:val="24"/>
        </w:rPr>
        <w:sectPr w:rsidR="002C46B2" w:rsidSect="00700B45">
          <w:headerReference w:type="first" r:id="rId8"/>
          <w:footerReference w:type="first" r:id="rId9"/>
          <w:endnotePr>
            <w:numFmt w:val="decimal"/>
          </w:endnotePr>
          <w:pgSz w:w="12240" w:h="15840"/>
          <w:pgMar w:top="1440" w:right="1440" w:bottom="1440" w:left="1440" w:header="720" w:footer="720" w:gutter="0"/>
          <w:pgNumType w:start="1"/>
          <w:cols w:space="720"/>
          <w:titlePg/>
          <w:docGrid w:linePitch="360"/>
        </w:sectPr>
      </w:pPr>
    </w:p>
    <w:p w14:paraId="576EDACD" w14:textId="77777777" w:rsidR="002050BE" w:rsidRPr="002119E7" w:rsidRDefault="002050BE" w:rsidP="002050BE">
      <w:pPr>
        <w:pStyle w:val="BalesHeading1"/>
        <w:rPr>
          <w:rStyle w:val="IntenseReference"/>
          <w:b/>
          <w:bCs w:val="0"/>
          <w:smallCaps/>
          <w:color w:val="003DA5"/>
          <w:spacing w:val="0"/>
        </w:rPr>
      </w:pPr>
      <w:r w:rsidRPr="002119E7">
        <w:rPr>
          <w:rStyle w:val="IntenseReference"/>
          <w:b/>
          <w:bCs w:val="0"/>
          <w:smallCaps/>
          <w:color w:val="003DA5"/>
          <w:spacing w:val="0"/>
        </w:rPr>
        <w:lastRenderedPageBreak/>
        <w:t>About the Authors</w:t>
      </w:r>
    </w:p>
    <w:p w14:paraId="52CCCAFB" w14:textId="77777777" w:rsidR="002050BE" w:rsidRDefault="002050BE" w:rsidP="002050BE"/>
    <w:p w14:paraId="1593D73A" w14:textId="77777777" w:rsidR="002050BE" w:rsidRDefault="002050BE" w:rsidP="002050BE">
      <w:r>
        <w:t xml:space="preserve">Dr. Sandy Addis, </w:t>
      </w:r>
      <w:proofErr w:type="spellStart"/>
      <w:r>
        <w:t>EdD</w:t>
      </w:r>
      <w:proofErr w:type="spellEnd"/>
      <w:r>
        <w:t xml:space="preserve">, is Executive Director of the National Dropout Prevention Center/ Network at Clemson University. He has served as a teacher, principal, central office administrator, regional service agency director, and local school board member. He has </w:t>
      </w:r>
      <w:r>
        <w:br/>
        <w:t>46 years of experience in public education.</w:t>
      </w:r>
    </w:p>
    <w:p w14:paraId="63B48FF4" w14:textId="77777777" w:rsidR="002050BE" w:rsidRDefault="002050BE" w:rsidP="002050BE"/>
    <w:p w14:paraId="21037336" w14:textId="77777777" w:rsidR="002050BE" w:rsidRDefault="002050BE" w:rsidP="002050BE">
      <w:r>
        <w:t xml:space="preserve">Dr. Sandy Bales, </w:t>
      </w:r>
      <w:proofErr w:type="spellStart"/>
      <w:r>
        <w:t>EdD</w:t>
      </w:r>
      <w:proofErr w:type="spellEnd"/>
      <w:r>
        <w:t>, is a school improvement specialist for Pioneer Regional Educational Service Agency in Cleveland, GA. She is a consultant and author for the National Dropout Prevention Center/Network at Clemson University. She has served as a teacher and building administrator and has 35 years of experience in public education.</w:t>
      </w:r>
    </w:p>
    <w:p w14:paraId="1C67A3DA" w14:textId="77777777" w:rsidR="002050BE" w:rsidRDefault="002050BE" w:rsidP="002050BE"/>
    <w:p w14:paraId="4F05B5BD" w14:textId="77777777" w:rsidR="002050BE" w:rsidRDefault="002050BE" w:rsidP="002050BE">
      <w:r>
        <w:t xml:space="preserve">Dr. Richard </w:t>
      </w:r>
      <w:proofErr w:type="spellStart"/>
      <w:r>
        <w:t>Krise</w:t>
      </w:r>
      <w:proofErr w:type="spellEnd"/>
      <w:r>
        <w:t xml:space="preserve">, </w:t>
      </w:r>
      <w:proofErr w:type="spellStart"/>
      <w:r>
        <w:t>EdD</w:t>
      </w:r>
      <w:proofErr w:type="spellEnd"/>
      <w:r>
        <w:t>, has served as a teacher, principal, and regional service agency leader. He has experience in the areas of leadership coaching, professional development, accountability, and school improvement. He has 41 years of experience in public education.</w:t>
      </w:r>
    </w:p>
    <w:p w14:paraId="3196DD70" w14:textId="776730D0" w:rsidR="003C38B5" w:rsidRDefault="003C38B5" w:rsidP="003C38B5"/>
    <w:p w14:paraId="4CC88224" w14:textId="7511D375" w:rsidR="008B072A" w:rsidRDefault="008B072A">
      <w:r>
        <w:br w:type="page"/>
      </w:r>
    </w:p>
    <w:p w14:paraId="470BF37A" w14:textId="78E1965E" w:rsidR="003E0B76" w:rsidRPr="002119E7" w:rsidRDefault="003E0B76" w:rsidP="002119E7">
      <w:pPr>
        <w:pStyle w:val="BalesHeading1"/>
        <w:rPr>
          <w:rStyle w:val="IntenseReference"/>
          <w:b/>
          <w:smallCaps/>
          <w:color w:val="003DA5"/>
        </w:rPr>
      </w:pPr>
      <w:r w:rsidRPr="002119E7">
        <w:rPr>
          <w:rStyle w:val="IntenseReference"/>
          <w:b/>
          <w:smallCaps/>
          <w:color w:val="003DA5"/>
        </w:rPr>
        <w:t>Introduction</w:t>
      </w:r>
    </w:p>
    <w:p w14:paraId="60FA1D2A" w14:textId="243A69E2" w:rsidR="007300FE" w:rsidRDefault="007A3690" w:rsidP="005801CD">
      <w:pPr>
        <w:pStyle w:val="BodyText"/>
      </w:pPr>
      <w:proofErr w:type="spellStart"/>
      <w:r w:rsidRPr="007A3690">
        <w:t>Reim</w:t>
      </w:r>
      <w:proofErr w:type="spellEnd"/>
      <w:r w:rsidRPr="007A3690">
        <w:t xml:space="preserve"> (2014) declared that “one of the most crucial factors that determine a child’s ability to move up the economic ladder is education,” but thousands of students continue to drop out of school each year. </w:t>
      </w:r>
      <w:r w:rsidR="004C5A64" w:rsidRPr="007A3690">
        <w:rPr>
          <w:rFonts w:cs="Times New Roman"/>
          <w:color w:val="030A13"/>
          <w:szCs w:val="24"/>
          <w:shd w:val="clear" w:color="auto" w:fill="FFFFFF"/>
        </w:rPr>
        <w:t xml:space="preserve">The National Center for Educational Statistics </w:t>
      </w:r>
      <w:r w:rsidR="004C5A64" w:rsidRPr="0053181C">
        <w:rPr>
          <w:rFonts w:cs="Times New Roman"/>
          <w:szCs w:val="24"/>
          <w:shd w:val="clear" w:color="auto" w:fill="FFFFFF"/>
        </w:rPr>
        <w:t>(</w:t>
      </w:r>
      <w:r w:rsidR="00CC62D7" w:rsidRPr="0053181C">
        <w:rPr>
          <w:rFonts w:cs="Times New Roman"/>
          <w:szCs w:val="24"/>
          <w:shd w:val="clear" w:color="auto" w:fill="FFFFFF"/>
        </w:rPr>
        <w:t>2014</w:t>
      </w:r>
      <w:r w:rsidR="004C5A64" w:rsidRPr="0053181C">
        <w:rPr>
          <w:rFonts w:cs="Times New Roman"/>
          <w:szCs w:val="24"/>
          <w:shd w:val="clear" w:color="auto" w:fill="FFFFFF"/>
        </w:rPr>
        <w:t>) reported t</w:t>
      </w:r>
      <w:r w:rsidRPr="0053181C">
        <w:rPr>
          <w:rFonts w:cs="Times New Roman"/>
          <w:szCs w:val="24"/>
          <w:shd w:val="clear" w:color="auto" w:fill="FFFFFF"/>
        </w:rPr>
        <w:t xml:space="preserve">he </w:t>
      </w:r>
      <w:r w:rsidR="00CC62D7" w:rsidRPr="0053181C">
        <w:rPr>
          <w:rFonts w:cs="Times New Roman"/>
          <w:szCs w:val="24"/>
          <w:shd w:val="clear" w:color="auto" w:fill="FFFFFF"/>
        </w:rPr>
        <w:t>2013–</w:t>
      </w:r>
      <w:r w:rsidRPr="0053181C">
        <w:rPr>
          <w:rFonts w:cs="Times New Roman"/>
          <w:szCs w:val="24"/>
          <w:shd w:val="clear" w:color="auto" w:fill="FFFFFF"/>
        </w:rPr>
        <w:t>2014</w:t>
      </w:r>
      <w:r w:rsidR="004C5A64" w:rsidRPr="007A3690">
        <w:rPr>
          <w:rFonts w:cs="Times New Roman"/>
          <w:color w:val="030A13"/>
          <w:szCs w:val="24"/>
          <w:shd w:val="clear" w:color="auto" w:fill="FFFFFF"/>
        </w:rPr>
        <w:t xml:space="preserve"> </w:t>
      </w:r>
      <w:r w:rsidR="00E25942" w:rsidRPr="007A3690">
        <w:rPr>
          <w:rFonts w:cs="Times New Roman"/>
          <w:color w:val="030A13"/>
          <w:szCs w:val="24"/>
          <w:shd w:val="clear" w:color="auto" w:fill="FFFFFF"/>
        </w:rPr>
        <w:t xml:space="preserve">national </w:t>
      </w:r>
      <w:r w:rsidR="00E3527B" w:rsidRPr="007A3690">
        <w:rPr>
          <w:rFonts w:cs="Times New Roman"/>
          <w:color w:val="030A13"/>
          <w:szCs w:val="24"/>
          <w:shd w:val="clear" w:color="auto" w:fill="FFFFFF"/>
        </w:rPr>
        <w:t>graduation rate, representing a recently implemented unifo</w:t>
      </w:r>
      <w:r w:rsidR="002F35C0" w:rsidRPr="007A3690">
        <w:rPr>
          <w:rFonts w:cs="Times New Roman"/>
          <w:color w:val="030A13"/>
          <w:szCs w:val="24"/>
          <w:shd w:val="clear" w:color="auto" w:fill="FFFFFF"/>
        </w:rPr>
        <w:t xml:space="preserve">rm method of calculation, </w:t>
      </w:r>
      <w:r w:rsidR="002F35C0" w:rsidRPr="00CC62D7">
        <w:rPr>
          <w:rFonts w:cs="Times New Roman"/>
          <w:szCs w:val="24"/>
          <w:shd w:val="clear" w:color="auto" w:fill="FFFFFF"/>
        </w:rPr>
        <w:t>was 82</w:t>
      </w:r>
      <w:r w:rsidR="00CC62D7" w:rsidRPr="00CC62D7">
        <w:rPr>
          <w:rFonts w:cs="Times New Roman"/>
          <w:szCs w:val="24"/>
          <w:shd w:val="clear" w:color="auto" w:fill="FFFFFF"/>
        </w:rPr>
        <w:t>%</w:t>
      </w:r>
      <w:r w:rsidR="00E3527B" w:rsidRPr="00CC62D7">
        <w:rPr>
          <w:rFonts w:cs="Times New Roman"/>
          <w:szCs w:val="24"/>
          <w:shd w:val="clear" w:color="auto" w:fill="FFFFFF"/>
        </w:rPr>
        <w:t xml:space="preserve">. While this indicated an improvement in high school </w:t>
      </w:r>
      <w:r w:rsidRPr="00CC62D7">
        <w:rPr>
          <w:rFonts w:cs="Times New Roman"/>
          <w:szCs w:val="24"/>
          <w:shd w:val="clear" w:color="auto" w:fill="FFFFFF"/>
        </w:rPr>
        <w:t>completion over recent years, 18</w:t>
      </w:r>
      <w:r w:rsidR="00CC62D7" w:rsidRPr="00CC62D7">
        <w:rPr>
          <w:rFonts w:cs="Times New Roman"/>
          <w:szCs w:val="24"/>
          <w:shd w:val="clear" w:color="auto" w:fill="FFFFFF"/>
        </w:rPr>
        <w:t>%</w:t>
      </w:r>
      <w:r w:rsidR="00E3527B" w:rsidRPr="007A3690">
        <w:rPr>
          <w:rFonts w:cs="Times New Roman"/>
          <w:color w:val="030A13"/>
          <w:szCs w:val="24"/>
          <w:shd w:val="clear" w:color="auto" w:fill="FFFFFF"/>
        </w:rPr>
        <w:t xml:space="preserve"> of </w:t>
      </w:r>
      <w:r w:rsidRPr="007A3690">
        <w:rPr>
          <w:rFonts w:cs="Times New Roman"/>
          <w:color w:val="030A13"/>
          <w:szCs w:val="24"/>
          <w:shd w:val="clear" w:color="auto" w:fill="FFFFFF"/>
        </w:rPr>
        <w:t>the class of 2014</w:t>
      </w:r>
      <w:r w:rsidR="00EA1877" w:rsidRPr="007A3690">
        <w:rPr>
          <w:rFonts w:cs="Times New Roman"/>
          <w:color w:val="030A13"/>
          <w:szCs w:val="24"/>
          <w:shd w:val="clear" w:color="auto" w:fill="FFFFFF"/>
        </w:rPr>
        <w:t xml:space="preserve"> did not complete high school</w:t>
      </w:r>
      <w:r>
        <w:rPr>
          <w:rFonts w:cs="Times New Roman"/>
          <w:color w:val="030A13"/>
          <w:szCs w:val="24"/>
          <w:shd w:val="clear" w:color="auto" w:fill="FFFFFF"/>
        </w:rPr>
        <w:t xml:space="preserve"> and</w:t>
      </w:r>
      <w:r w:rsidR="00E3527B" w:rsidRPr="007A3690">
        <w:rPr>
          <w:rFonts w:cs="Times New Roman"/>
          <w:color w:val="030A13"/>
          <w:szCs w:val="24"/>
          <w:shd w:val="clear" w:color="auto" w:fill="FFFFFF"/>
        </w:rPr>
        <w:t xml:space="preserve"> left </w:t>
      </w:r>
      <w:r>
        <w:rPr>
          <w:rFonts w:cs="Times New Roman"/>
          <w:color w:val="030A13"/>
          <w:szCs w:val="24"/>
          <w:shd w:val="clear" w:color="auto" w:fill="FFFFFF"/>
        </w:rPr>
        <w:t xml:space="preserve">school </w:t>
      </w:r>
      <w:r w:rsidR="00E3527B" w:rsidRPr="007A3690">
        <w:rPr>
          <w:rFonts w:cs="Times New Roman"/>
          <w:color w:val="030A13"/>
          <w:szCs w:val="24"/>
          <w:shd w:val="clear" w:color="auto" w:fill="FFFFFF"/>
        </w:rPr>
        <w:t>unprepared for college or career.</w:t>
      </w:r>
      <w:r w:rsidR="004C5A64" w:rsidRPr="007A3690">
        <w:rPr>
          <w:rFonts w:cs="Times New Roman"/>
          <w:color w:val="030A13"/>
          <w:szCs w:val="24"/>
          <w:shd w:val="clear" w:color="auto" w:fill="FFFFFF"/>
        </w:rPr>
        <w:t xml:space="preserve"> </w:t>
      </w:r>
      <w:r w:rsidR="00B32575" w:rsidRPr="007A3690">
        <w:t>In 2007</w:t>
      </w:r>
      <w:r w:rsidR="00DA3378" w:rsidRPr="007A3690">
        <w:t>,</w:t>
      </w:r>
      <w:r w:rsidR="00B32575" w:rsidRPr="007A3690">
        <w:t xml:space="preserve"> </w:t>
      </w:r>
      <w:r w:rsidR="008550D7" w:rsidRPr="007A3690">
        <w:t>t</w:t>
      </w:r>
      <w:r w:rsidR="00B32575" w:rsidRPr="007A3690">
        <w:t>he National Dropout Prevention Center/Network published a monograph entitled</w:t>
      </w:r>
      <w:r w:rsidR="00B32575" w:rsidRPr="007F3189">
        <w:t xml:space="preserve"> </w:t>
      </w:r>
      <w:r w:rsidR="00B32575" w:rsidRPr="007F3189">
        <w:rPr>
          <w:i/>
        </w:rPr>
        <w:t>The Principal’s Role in Dropout Prevention: Seven Key Principles</w:t>
      </w:r>
      <w:r w:rsidR="00B32575" w:rsidRPr="007F3189">
        <w:t xml:space="preserve"> by Steven W. </w:t>
      </w:r>
      <w:r w:rsidR="00417744">
        <w:t>and Rebecca Edwards</w:t>
      </w:r>
      <w:r w:rsidR="00B32575" w:rsidRPr="007F3189">
        <w:t xml:space="preserve">, which addressed the role of </w:t>
      </w:r>
      <w:r w:rsidR="00167BF7" w:rsidRPr="007F3189">
        <w:t xml:space="preserve">high school </w:t>
      </w:r>
      <w:r w:rsidR="00B32575" w:rsidRPr="007F3189">
        <w:t>principal</w:t>
      </w:r>
      <w:r w:rsidR="00167BF7" w:rsidRPr="007F3189">
        <w:t>s</w:t>
      </w:r>
      <w:r w:rsidR="00B32575" w:rsidRPr="007F3189">
        <w:t xml:space="preserve"> in combating the dropout </w:t>
      </w:r>
      <w:r w:rsidR="00DA3378" w:rsidRPr="007F3189">
        <w:t>problem</w:t>
      </w:r>
      <w:r w:rsidR="00B32575" w:rsidRPr="007F3189">
        <w:t xml:space="preserve">. </w:t>
      </w:r>
      <w:r w:rsidR="007300FE">
        <w:t>Steven Edwards served as a principal of an urban school in Hartford, Connecticut</w:t>
      </w:r>
      <w:r w:rsidR="00CC62D7" w:rsidRPr="00CC62D7">
        <w:rPr>
          <w:color w:val="FF0000"/>
        </w:rPr>
        <w:t>,</w:t>
      </w:r>
      <w:r w:rsidR="007300FE">
        <w:t xml:space="preserve"> and during his </w:t>
      </w:r>
      <w:r w:rsidR="00987A63">
        <w:t xml:space="preserve">tenure </w:t>
      </w:r>
      <w:r w:rsidR="007300FE">
        <w:t xml:space="preserve">reduced the dropout rate from 28% to less than 2% (Edwards &amp; Edwards, 2007). His work in Hartford led to the identification of </w:t>
      </w:r>
      <w:r w:rsidR="00A81115">
        <w:t>seven princip</w:t>
      </w:r>
      <w:r w:rsidR="00F445A7">
        <w:t xml:space="preserve">les fundamental to the success of </w:t>
      </w:r>
      <w:r w:rsidR="00053F23">
        <w:t xml:space="preserve">programs targeting </w:t>
      </w:r>
      <w:r w:rsidR="00A81115">
        <w:t xml:space="preserve">dropout rate </w:t>
      </w:r>
      <w:r>
        <w:t>reduction</w:t>
      </w:r>
      <w:r w:rsidR="00A81115">
        <w:t>.</w:t>
      </w:r>
    </w:p>
    <w:p w14:paraId="181F2CD8" w14:textId="3A89B8F0" w:rsidR="00001863" w:rsidRPr="00001863" w:rsidRDefault="000E708D" w:rsidP="00001863">
      <w:pPr>
        <w:pStyle w:val="BodyText"/>
      </w:pPr>
      <w:r>
        <w:rPr>
          <w:rFonts w:eastAsia="Times New Roman" w:cs="Times New Roman"/>
          <w:color w:val="000000"/>
          <w:szCs w:val="24"/>
        </w:rPr>
        <w:t xml:space="preserve">These principles </w:t>
      </w:r>
      <w:r w:rsidR="007A3690">
        <w:rPr>
          <w:rFonts w:eastAsia="Times New Roman" w:cs="Times New Roman"/>
          <w:color w:val="000000"/>
          <w:szCs w:val="24"/>
        </w:rPr>
        <w:t>have significance in a variety of educational settings including rural educational initiatives</w:t>
      </w:r>
      <w:r w:rsidR="00CB2270">
        <w:rPr>
          <w:rFonts w:eastAsia="Times New Roman" w:cs="Times New Roman"/>
          <w:color w:val="000000"/>
          <w:szCs w:val="24"/>
        </w:rPr>
        <w:t xml:space="preserve">; however, they come with some </w:t>
      </w:r>
      <w:r>
        <w:rPr>
          <w:rFonts w:eastAsia="Times New Roman" w:cs="Times New Roman"/>
          <w:color w:val="000000"/>
          <w:szCs w:val="24"/>
        </w:rPr>
        <w:t xml:space="preserve">individual challenges. </w:t>
      </w:r>
      <w:r w:rsidR="002B5FD7" w:rsidRPr="00FD044A">
        <w:rPr>
          <w:rFonts w:eastAsia="Times New Roman" w:cs="Times New Roman"/>
          <w:color w:val="000000"/>
          <w:szCs w:val="24"/>
        </w:rPr>
        <w:t>While no single definition exists to define rural A</w:t>
      </w:r>
      <w:r w:rsidR="00F445A7">
        <w:rPr>
          <w:rFonts w:eastAsia="Times New Roman" w:cs="Times New Roman"/>
          <w:color w:val="000000"/>
          <w:szCs w:val="24"/>
        </w:rPr>
        <w:t>merica and rural schools, Harmon</w:t>
      </w:r>
      <w:r w:rsidR="002B5FD7" w:rsidRPr="00FD044A">
        <w:rPr>
          <w:rFonts w:eastAsia="Times New Roman" w:cs="Times New Roman"/>
          <w:color w:val="000000"/>
          <w:szCs w:val="24"/>
        </w:rPr>
        <w:t xml:space="preserve"> and Weeks (</w:t>
      </w:r>
      <w:proofErr w:type="spellStart"/>
      <w:r w:rsidR="002B5FD7" w:rsidRPr="00FD044A">
        <w:rPr>
          <w:rFonts w:eastAsia="Times New Roman" w:cs="Times New Roman"/>
          <w:color w:val="000000"/>
          <w:szCs w:val="24"/>
        </w:rPr>
        <w:t>n.d.</w:t>
      </w:r>
      <w:proofErr w:type="spellEnd"/>
      <w:r w:rsidR="002B5FD7" w:rsidRPr="00FD044A">
        <w:rPr>
          <w:rFonts w:eastAsia="Times New Roman" w:cs="Times New Roman"/>
          <w:color w:val="000000"/>
          <w:szCs w:val="24"/>
        </w:rPr>
        <w:t xml:space="preserve">) indicate they </w:t>
      </w:r>
      <w:r w:rsidR="00987A63">
        <w:rPr>
          <w:rFonts w:eastAsia="Times New Roman" w:cs="Times New Roman"/>
          <w:color w:val="000000"/>
          <w:szCs w:val="24"/>
        </w:rPr>
        <w:t xml:space="preserve">tend to </w:t>
      </w:r>
      <w:r w:rsidR="002B5FD7" w:rsidRPr="00FD044A">
        <w:rPr>
          <w:rFonts w:eastAsia="Times New Roman" w:cs="Times New Roman"/>
          <w:color w:val="000000"/>
          <w:szCs w:val="24"/>
        </w:rPr>
        <w:t>have three common characteristics</w:t>
      </w:r>
      <w:r w:rsidR="00CC62D7">
        <w:rPr>
          <w:rFonts w:eastAsia="Times New Roman" w:cs="Times New Roman"/>
          <w:color w:val="000000"/>
          <w:szCs w:val="24"/>
        </w:rPr>
        <w:t>—</w:t>
      </w:r>
      <w:r w:rsidR="002B5FD7" w:rsidRPr="00FD044A">
        <w:rPr>
          <w:rFonts w:eastAsia="Times New Roman" w:cs="Times New Roman"/>
          <w:color w:val="000000"/>
          <w:szCs w:val="24"/>
        </w:rPr>
        <w:t xml:space="preserve">low population density; declining natural resource-based industries; and </w:t>
      </w:r>
      <w:r w:rsidR="002B5FD7">
        <w:rPr>
          <w:rFonts w:eastAsia="Times New Roman" w:cs="Times New Roman"/>
          <w:color w:val="000000"/>
          <w:szCs w:val="24"/>
        </w:rPr>
        <w:t xml:space="preserve">increasing </w:t>
      </w:r>
      <w:r w:rsidR="002B5FD7" w:rsidRPr="00FD044A">
        <w:rPr>
          <w:rFonts w:eastAsia="Times New Roman" w:cs="Times New Roman"/>
          <w:color w:val="000000"/>
          <w:szCs w:val="24"/>
        </w:rPr>
        <w:t>low-skill, low-wage rural worker competition. In 1998 approxi</w:t>
      </w:r>
      <w:r>
        <w:rPr>
          <w:rFonts w:eastAsia="Times New Roman" w:cs="Times New Roman"/>
          <w:color w:val="000000"/>
          <w:szCs w:val="24"/>
        </w:rPr>
        <w:t xml:space="preserve">mately </w:t>
      </w:r>
      <w:r w:rsidR="003E0B76">
        <w:rPr>
          <w:rFonts w:eastAsia="Times New Roman" w:cs="Times New Roman"/>
          <w:color w:val="000000"/>
          <w:szCs w:val="24"/>
        </w:rPr>
        <w:t xml:space="preserve">17 million </w:t>
      </w:r>
      <w:r w:rsidR="002B5FD7" w:rsidRPr="00FD044A">
        <w:rPr>
          <w:rFonts w:eastAsia="Times New Roman" w:cs="Times New Roman"/>
          <w:color w:val="000000"/>
          <w:szCs w:val="24"/>
        </w:rPr>
        <w:t>public school students</w:t>
      </w:r>
      <w:r>
        <w:rPr>
          <w:rFonts w:eastAsia="Times New Roman" w:cs="Times New Roman"/>
          <w:color w:val="000000"/>
          <w:szCs w:val="24"/>
        </w:rPr>
        <w:t xml:space="preserve"> attended rural or small town schools</w:t>
      </w:r>
      <w:r w:rsidR="00F445A7">
        <w:rPr>
          <w:rFonts w:eastAsia="Times New Roman" w:cs="Times New Roman"/>
          <w:color w:val="000000"/>
          <w:szCs w:val="24"/>
        </w:rPr>
        <w:t xml:space="preserve"> (Harmon</w:t>
      </w:r>
      <w:r w:rsidR="002B5FD7" w:rsidRPr="00FD044A">
        <w:rPr>
          <w:rFonts w:eastAsia="Times New Roman" w:cs="Times New Roman"/>
          <w:color w:val="000000"/>
          <w:szCs w:val="24"/>
        </w:rPr>
        <w:t xml:space="preserve"> &amp; Weeks, </w:t>
      </w:r>
      <w:proofErr w:type="spellStart"/>
      <w:r w:rsidR="002B5FD7" w:rsidRPr="00FD044A">
        <w:rPr>
          <w:rFonts w:eastAsia="Times New Roman" w:cs="Times New Roman"/>
          <w:color w:val="000000"/>
          <w:szCs w:val="24"/>
        </w:rPr>
        <w:t>n.d.</w:t>
      </w:r>
      <w:proofErr w:type="spellEnd"/>
      <w:r w:rsidR="002B5FD7" w:rsidRPr="00FD044A">
        <w:rPr>
          <w:rFonts w:eastAsia="Times New Roman" w:cs="Times New Roman"/>
          <w:color w:val="000000"/>
          <w:szCs w:val="24"/>
        </w:rPr>
        <w:t>).</w:t>
      </w:r>
      <w:r w:rsidR="002B5FD7">
        <w:rPr>
          <w:rFonts w:eastAsia="Times New Roman" w:cs="Times New Roman"/>
          <w:color w:val="000000"/>
          <w:szCs w:val="24"/>
        </w:rPr>
        <w:t xml:space="preserve"> </w:t>
      </w:r>
      <w:r w:rsidR="003E0B76">
        <w:t>The challenges of addressing the varied and extensive needs of the at-risk student are compounded by the circumstances of a rural environment.</w:t>
      </w:r>
      <w:r w:rsidR="002B5FD7" w:rsidRPr="000E708D">
        <w:t xml:space="preserve"> It is important that the rural principal establish a climate that expects graduation.</w:t>
      </w:r>
      <w:r w:rsidR="00001863">
        <w:t xml:space="preserve"> </w:t>
      </w:r>
      <w:r w:rsidR="00001863" w:rsidRPr="00001863">
        <w:t xml:space="preserve">The seven principles, while </w:t>
      </w:r>
      <w:r w:rsidR="00053F23">
        <w:t xml:space="preserve">valuable and </w:t>
      </w:r>
      <w:r w:rsidR="00001863" w:rsidRPr="00001863">
        <w:t>essential to successful dropout prevention initiatives, are not equal in the</w:t>
      </w:r>
      <w:r w:rsidR="00053F23">
        <w:t>ir</w:t>
      </w:r>
      <w:r w:rsidR="00001863" w:rsidRPr="00001863">
        <w:t xml:space="preserve"> impact relative </w:t>
      </w:r>
      <w:r w:rsidR="00053F23">
        <w:t>to the school/system setting or in</w:t>
      </w:r>
      <w:r w:rsidR="00001863" w:rsidRPr="00001863">
        <w:t xml:space="preserve"> the required level of administrative attention </w:t>
      </w:r>
      <w:r w:rsidR="00053F23">
        <w:t xml:space="preserve">necessary for implementation </w:t>
      </w:r>
      <w:r w:rsidR="00001863" w:rsidRPr="00001863">
        <w:t xml:space="preserve">in a rural environment. </w:t>
      </w:r>
    </w:p>
    <w:p w14:paraId="1D9B4C58" w14:textId="5D7CD6E7" w:rsidR="00EA26E3" w:rsidRPr="002119E7" w:rsidRDefault="00293F66" w:rsidP="002119E7">
      <w:pPr>
        <w:pStyle w:val="BalesHeading1"/>
        <w:rPr>
          <w:rStyle w:val="IntenseReference"/>
          <w:b/>
          <w:smallCaps/>
          <w:color w:val="003DA5"/>
        </w:rPr>
      </w:pPr>
      <w:r w:rsidRPr="002119E7">
        <w:rPr>
          <w:rStyle w:val="IntenseReference"/>
          <w:b/>
          <w:smallCaps/>
          <w:color w:val="003DA5"/>
        </w:rPr>
        <w:t xml:space="preserve">Principle 1: </w:t>
      </w:r>
      <w:r w:rsidR="00F41CED" w:rsidRPr="002119E7">
        <w:rPr>
          <w:rStyle w:val="IntenseReference"/>
          <w:b/>
          <w:smallCaps/>
          <w:color w:val="003DA5"/>
        </w:rPr>
        <w:t>Identify Students Early</w:t>
      </w:r>
    </w:p>
    <w:p w14:paraId="444DEA94" w14:textId="22693818" w:rsidR="000C0444" w:rsidRPr="00DE3A17" w:rsidRDefault="00417744" w:rsidP="00417744">
      <w:r w:rsidRPr="00DE3A17">
        <w:t>Many factors contribute to students d</w:t>
      </w:r>
      <w:r w:rsidR="003469E5" w:rsidRPr="00DE3A17">
        <w:t xml:space="preserve">ropping out of school. These </w:t>
      </w:r>
      <w:r w:rsidRPr="00DE3A17">
        <w:t xml:space="preserve">factors may not reach a critical level until the high school years, </w:t>
      </w:r>
      <w:r w:rsidR="003469E5" w:rsidRPr="00DE3A17">
        <w:t xml:space="preserve">but they begin and impact each other </w:t>
      </w:r>
      <w:r w:rsidRPr="00DE3A17">
        <w:t xml:space="preserve">during early educational </w:t>
      </w:r>
      <w:r w:rsidRPr="0053181C">
        <w:t>experiences (</w:t>
      </w:r>
      <w:r w:rsidR="0053181C" w:rsidRPr="0053181C">
        <w:t>Hammond</w:t>
      </w:r>
      <w:r w:rsidR="00024F43" w:rsidRPr="0053181C">
        <w:t>,</w:t>
      </w:r>
      <w:r w:rsidR="0053181C" w:rsidRPr="0053181C">
        <w:t xml:space="preserve"> Linton, </w:t>
      </w:r>
      <w:proofErr w:type="spellStart"/>
      <w:r w:rsidR="0053181C" w:rsidRPr="0053181C">
        <w:t>Smink</w:t>
      </w:r>
      <w:proofErr w:type="spellEnd"/>
      <w:r w:rsidR="0053181C" w:rsidRPr="0053181C">
        <w:t>, &amp; Drew,</w:t>
      </w:r>
      <w:r w:rsidR="00024F43" w:rsidRPr="0053181C">
        <w:t xml:space="preserve"> 2007</w:t>
      </w:r>
      <w:r w:rsidR="003469E5" w:rsidRPr="0053181C">
        <w:t>).</w:t>
      </w:r>
      <w:r w:rsidR="003469E5" w:rsidRPr="00DE3A17">
        <w:t xml:space="preserve"> School-affected factors for academic success have been commonly identified through a variety of research </w:t>
      </w:r>
      <w:r w:rsidR="004E3EF9" w:rsidRPr="00DE3A17">
        <w:t xml:space="preserve">and practitioner </w:t>
      </w:r>
      <w:r w:rsidR="00466390" w:rsidRPr="00DE3A17">
        <w:t xml:space="preserve">observation and </w:t>
      </w:r>
      <w:r w:rsidR="004E3EF9" w:rsidRPr="00DE3A17">
        <w:t>analysis</w:t>
      </w:r>
      <w:r w:rsidR="003469E5" w:rsidRPr="00DE3A17">
        <w:t xml:space="preserve">. </w:t>
      </w:r>
      <w:r w:rsidR="00466390" w:rsidRPr="009401B7">
        <w:t>Achieve, Inc.</w:t>
      </w:r>
      <w:r w:rsidR="009401B7">
        <w:t>,</w:t>
      </w:r>
      <w:r w:rsidR="00466390" w:rsidRPr="009401B7">
        <w:t xml:space="preserve"> </w:t>
      </w:r>
      <w:r w:rsidR="009401B7" w:rsidRPr="009401B7">
        <w:t>and</w:t>
      </w:r>
      <w:r w:rsidR="00466390" w:rsidRPr="009401B7">
        <w:t xml:space="preserve"> Jobs for the Future</w:t>
      </w:r>
      <w:r w:rsidR="00466390" w:rsidRPr="00DE3A17">
        <w:t xml:space="preserve"> (</w:t>
      </w:r>
      <w:r w:rsidR="009401B7">
        <w:t xml:space="preserve">Jerald, </w:t>
      </w:r>
      <w:r w:rsidR="00466390" w:rsidRPr="00DE3A17">
        <w:t>2006) identify the following factors.</w:t>
      </w:r>
    </w:p>
    <w:p w14:paraId="32E7F260" w14:textId="1D9AEAEA" w:rsidR="00121484" w:rsidRPr="00DE3A17" w:rsidRDefault="00466390" w:rsidP="002C46B2">
      <w:pPr>
        <w:pStyle w:val="ListParagraph"/>
        <w:numPr>
          <w:ilvl w:val="0"/>
          <w:numId w:val="5"/>
        </w:numPr>
      </w:pPr>
      <w:r w:rsidRPr="00DE3A17">
        <w:t>A</w:t>
      </w:r>
      <w:r w:rsidR="003469E5" w:rsidRPr="00DE3A17">
        <w:t>ge at least on</w:t>
      </w:r>
      <w:r w:rsidR="00121484" w:rsidRPr="00DE3A17">
        <w:t>e year overage for grade level</w:t>
      </w:r>
    </w:p>
    <w:p w14:paraId="60CA707A" w14:textId="468DADDD" w:rsidR="00121484" w:rsidRPr="00DE3A17" w:rsidRDefault="00466390" w:rsidP="002C46B2">
      <w:pPr>
        <w:pStyle w:val="ListParagraph"/>
        <w:numPr>
          <w:ilvl w:val="0"/>
          <w:numId w:val="5"/>
        </w:numPr>
      </w:pPr>
      <w:r w:rsidRPr="00DE3A17">
        <w:t>P</w:t>
      </w:r>
      <w:r w:rsidR="003469E5" w:rsidRPr="00DE3A17">
        <w:t>oor or failing grades in mathematic</w:t>
      </w:r>
      <w:r w:rsidR="00121484" w:rsidRPr="00DE3A17">
        <w:t>s and/or English language arts</w:t>
      </w:r>
    </w:p>
    <w:p w14:paraId="1ED86DA3" w14:textId="603C96C4" w:rsidR="00121484" w:rsidRPr="00DE3A17" w:rsidRDefault="00466390" w:rsidP="002C46B2">
      <w:pPr>
        <w:pStyle w:val="ListParagraph"/>
        <w:numPr>
          <w:ilvl w:val="0"/>
          <w:numId w:val="5"/>
        </w:numPr>
      </w:pPr>
      <w:r w:rsidRPr="00DE3A17">
        <w:t>P</w:t>
      </w:r>
      <w:r w:rsidR="003469E5" w:rsidRPr="00DE3A17">
        <w:t>oor</w:t>
      </w:r>
      <w:r w:rsidR="00121484" w:rsidRPr="00DE3A17">
        <w:t xml:space="preserve"> standardized test performance</w:t>
      </w:r>
    </w:p>
    <w:p w14:paraId="6AA220AF" w14:textId="76949FD7" w:rsidR="00121484" w:rsidRPr="00DE3A17" w:rsidRDefault="00466390" w:rsidP="002C46B2">
      <w:pPr>
        <w:pStyle w:val="ListParagraph"/>
        <w:numPr>
          <w:ilvl w:val="0"/>
          <w:numId w:val="5"/>
        </w:numPr>
      </w:pPr>
      <w:r w:rsidRPr="00DE3A17">
        <w:t>G</w:t>
      </w:r>
      <w:r w:rsidR="00121484" w:rsidRPr="00DE3A17">
        <w:t>rade retention</w:t>
      </w:r>
    </w:p>
    <w:p w14:paraId="7F6B90D1" w14:textId="249986A7" w:rsidR="00121484" w:rsidRPr="00DE3A17" w:rsidRDefault="00466390" w:rsidP="002C46B2">
      <w:pPr>
        <w:pStyle w:val="ListParagraph"/>
        <w:numPr>
          <w:ilvl w:val="0"/>
          <w:numId w:val="5"/>
        </w:numPr>
      </w:pPr>
      <w:r w:rsidRPr="00DE3A17">
        <w:t>P</w:t>
      </w:r>
      <w:r w:rsidR="00121484" w:rsidRPr="00DE3A17">
        <w:t>oor attendance</w:t>
      </w:r>
    </w:p>
    <w:p w14:paraId="4A2D2C12" w14:textId="25250834" w:rsidR="00121484" w:rsidRPr="00DE3A17" w:rsidRDefault="00466390" w:rsidP="002C46B2">
      <w:pPr>
        <w:pStyle w:val="ListParagraph"/>
        <w:numPr>
          <w:ilvl w:val="0"/>
          <w:numId w:val="5"/>
        </w:numPr>
      </w:pPr>
      <w:r w:rsidRPr="00DE3A17">
        <w:t>D</w:t>
      </w:r>
      <w:r w:rsidR="003469E5" w:rsidRPr="00DE3A17">
        <w:t>iscipline issues</w:t>
      </w:r>
    </w:p>
    <w:p w14:paraId="5AC0D24A" w14:textId="14A36EDF" w:rsidR="00293F66" w:rsidRPr="00DE3A17" w:rsidRDefault="004E3EF9" w:rsidP="00553EB0">
      <w:r w:rsidRPr="00DE3A17">
        <w:t>Effective e</w:t>
      </w:r>
      <w:r w:rsidR="0094526D" w:rsidRPr="00DE3A17">
        <w:t xml:space="preserve">arly identification requires </w:t>
      </w:r>
      <w:r w:rsidRPr="00DE3A17">
        <w:t xml:space="preserve">multiple forms of </w:t>
      </w:r>
      <w:r w:rsidR="0094526D" w:rsidRPr="00DE3A17">
        <w:t xml:space="preserve">information. </w:t>
      </w:r>
      <w:r w:rsidRPr="00DE3A17">
        <w:t xml:space="preserve">In recent years, </w:t>
      </w:r>
      <w:r w:rsidR="007C37CE" w:rsidRPr="00DE3A17">
        <w:t xml:space="preserve">state educational </w:t>
      </w:r>
      <w:r w:rsidR="00E51524" w:rsidRPr="00DE3A17">
        <w:t xml:space="preserve">and </w:t>
      </w:r>
      <w:r w:rsidR="00355AB6" w:rsidRPr="00DE3A17">
        <w:t xml:space="preserve">vendors </w:t>
      </w:r>
      <w:r w:rsidR="00E51524" w:rsidRPr="00DE3A17">
        <w:t xml:space="preserve">have developed </w:t>
      </w:r>
      <w:r w:rsidR="006B768D" w:rsidRPr="006B768D">
        <w:t xml:space="preserve">early warning systems </w:t>
      </w:r>
      <w:r w:rsidR="007C37CE" w:rsidRPr="00DE3A17">
        <w:t>that have the potential to identify at-risk students early in the educational process</w:t>
      </w:r>
      <w:r w:rsidR="00355AB6" w:rsidRPr="00DE3A17">
        <w:t xml:space="preserve"> through faster and more reliable data analysis</w:t>
      </w:r>
      <w:r w:rsidR="00B01DAB" w:rsidRPr="00DE3A17">
        <w:t xml:space="preserve"> using a variety of factors or indicators</w:t>
      </w:r>
      <w:r w:rsidR="007C37CE" w:rsidRPr="00DE3A17">
        <w:t xml:space="preserve">. </w:t>
      </w:r>
      <w:r w:rsidR="007648A0" w:rsidRPr="00DE3A17">
        <w:t xml:space="preserve">Early </w:t>
      </w:r>
      <w:r w:rsidR="006B768D" w:rsidRPr="006B768D">
        <w:t xml:space="preserve">warning systems, </w:t>
      </w:r>
      <w:r w:rsidR="00B01DAB" w:rsidRPr="00DE3A17">
        <w:t>matched with system needs,</w:t>
      </w:r>
      <w:r w:rsidR="007648A0" w:rsidRPr="00DE3A17">
        <w:t xml:space="preserve"> </w:t>
      </w:r>
      <w:r w:rsidR="00E51524" w:rsidRPr="00DE3A17">
        <w:t>can play an important role in</w:t>
      </w:r>
      <w:r w:rsidR="007648A0" w:rsidRPr="00DE3A17">
        <w:t xml:space="preserve"> identifying at-risk students well before high school.</w:t>
      </w:r>
    </w:p>
    <w:p w14:paraId="29E4E335" w14:textId="26A61EEE" w:rsidR="00293F66" w:rsidRPr="00413319" w:rsidRDefault="00293F66" w:rsidP="002119E7">
      <w:pPr>
        <w:pStyle w:val="BalesHeading2"/>
        <w:rPr>
          <w:rStyle w:val="IntenseReference"/>
          <w:color w:val="003DA5"/>
        </w:rPr>
      </w:pPr>
      <w:r w:rsidRPr="00413319">
        <w:rPr>
          <w:rStyle w:val="IntenseReference"/>
          <w:color w:val="003DA5"/>
        </w:rPr>
        <w:t xml:space="preserve">Rural </w:t>
      </w:r>
      <w:r w:rsidR="00001863" w:rsidRPr="00413319">
        <w:rPr>
          <w:rStyle w:val="IntenseReference"/>
          <w:color w:val="003DA5"/>
        </w:rPr>
        <w:t>Impact</w:t>
      </w:r>
    </w:p>
    <w:p w14:paraId="4F96D6BB" w14:textId="096B0E52" w:rsidR="00E14356" w:rsidRPr="00DE3A17" w:rsidRDefault="007648A0" w:rsidP="00553EB0">
      <w:pPr>
        <w:rPr>
          <w:strike/>
        </w:rPr>
      </w:pPr>
      <w:r w:rsidRPr="00DE3A17">
        <w:t xml:space="preserve">Early </w:t>
      </w:r>
      <w:r w:rsidR="006B768D" w:rsidRPr="006B768D">
        <w:t>warning systems,</w:t>
      </w:r>
      <w:r w:rsidR="006B768D" w:rsidRPr="00DE3A17">
        <w:t xml:space="preserve"> </w:t>
      </w:r>
      <w:r w:rsidRPr="00DE3A17">
        <w:t>while able to analyze large volumes of information, may provide challenge</w:t>
      </w:r>
      <w:r w:rsidR="00355AB6" w:rsidRPr="00DE3A17">
        <w:t>s</w:t>
      </w:r>
      <w:r w:rsidR="00CF2BD0">
        <w:t xml:space="preserve"> to </w:t>
      </w:r>
      <w:r w:rsidR="00355AB6" w:rsidRPr="00DE3A17">
        <w:t>rural school systems</w:t>
      </w:r>
      <w:r w:rsidR="00CF2BD0">
        <w:t xml:space="preserve"> including being cost prohibitive</w:t>
      </w:r>
      <w:r w:rsidR="00355AB6" w:rsidRPr="00DE3A17">
        <w:t xml:space="preserve">. </w:t>
      </w:r>
      <w:r w:rsidR="00B01DAB" w:rsidRPr="00DE3A17">
        <w:t xml:space="preserve">They may focus </w:t>
      </w:r>
      <w:r w:rsidR="00E51524" w:rsidRPr="00DE3A17">
        <w:t xml:space="preserve">primarily </w:t>
      </w:r>
      <w:r w:rsidR="00B01DAB" w:rsidRPr="00DE3A17">
        <w:t>on lagging indicators (parameters that exist as a result</w:t>
      </w:r>
      <w:r w:rsidR="00E51524" w:rsidRPr="00DE3A17">
        <w:t xml:space="preserve"> of </w:t>
      </w:r>
      <w:r w:rsidR="00B01DAB" w:rsidRPr="00DE3A17">
        <w:t>conditions or circumstances occurring previously)</w:t>
      </w:r>
      <w:r w:rsidR="00E51524" w:rsidRPr="00DE3A17">
        <w:t xml:space="preserve">, </w:t>
      </w:r>
      <w:r w:rsidR="006B768D">
        <w:t xml:space="preserve">analyze nationally </w:t>
      </w:r>
      <w:r w:rsidR="00B01DAB" w:rsidRPr="00DE3A17">
        <w:t>normed instead of locally-normed risk factors</w:t>
      </w:r>
      <w:r w:rsidR="00E51524" w:rsidRPr="00DE3A17">
        <w:t xml:space="preserve">, and fail to incorporate the </w:t>
      </w:r>
      <w:r w:rsidR="00E51524" w:rsidRPr="00DE3A17">
        <w:rPr>
          <w:i/>
        </w:rPr>
        <w:t>intimate knowledge</w:t>
      </w:r>
      <w:r w:rsidR="00E51524" w:rsidRPr="00DE3A17">
        <w:t xml:space="preserve"> factor of a rural community. </w:t>
      </w:r>
      <w:r w:rsidR="00B01DAB" w:rsidRPr="00DE3A17">
        <w:t xml:space="preserve">These </w:t>
      </w:r>
      <w:r w:rsidR="00CF2BD0">
        <w:t xml:space="preserve">rural </w:t>
      </w:r>
      <w:r w:rsidR="00B01DAB" w:rsidRPr="00DE3A17">
        <w:t xml:space="preserve">communities </w:t>
      </w:r>
      <w:r w:rsidR="00CF2BD0">
        <w:t xml:space="preserve">often </w:t>
      </w:r>
      <w:r w:rsidR="00B01DAB" w:rsidRPr="00DE3A17">
        <w:t>contain gener</w:t>
      </w:r>
      <w:r w:rsidR="00CF2BD0">
        <w:t xml:space="preserve">ational knowledge that is </w:t>
      </w:r>
      <w:r w:rsidR="00B01DAB" w:rsidRPr="00DE3A17">
        <w:t>believed</w:t>
      </w:r>
      <w:r w:rsidR="00CC62D7">
        <w:t xml:space="preserve"> to be more accurate than multi</w:t>
      </w:r>
      <w:r w:rsidR="00B01DAB" w:rsidRPr="00DE3A17">
        <w:t>variable data analysis systems</w:t>
      </w:r>
      <w:r w:rsidR="00E51524" w:rsidRPr="00DE3A17">
        <w:t>. For these reasons</w:t>
      </w:r>
      <w:r w:rsidR="00CF2BD0">
        <w:t>,</w:t>
      </w:r>
      <w:r w:rsidR="00E51524" w:rsidRPr="00DE3A17">
        <w:t xml:space="preserve"> Early </w:t>
      </w:r>
      <w:r w:rsidR="006B768D" w:rsidRPr="006B768D">
        <w:t>warning systems</w:t>
      </w:r>
      <w:r w:rsidR="006B768D" w:rsidRPr="00DE3A17">
        <w:t xml:space="preserve"> </w:t>
      </w:r>
      <w:r w:rsidR="00CF2BD0">
        <w:t>must</w:t>
      </w:r>
      <w:r w:rsidR="00E51524" w:rsidRPr="00DE3A17">
        <w:t xml:space="preserve"> be carefully matched to the rural community’s need</w:t>
      </w:r>
      <w:r w:rsidR="00CF2BD0">
        <w:t>s</w:t>
      </w:r>
      <w:r w:rsidR="00E51524" w:rsidRPr="00DE3A17">
        <w:t>.</w:t>
      </w:r>
    </w:p>
    <w:p w14:paraId="24F4837B" w14:textId="194D37C8" w:rsidR="00826CA6" w:rsidRPr="002119E7" w:rsidRDefault="00293F66" w:rsidP="002119E7">
      <w:pPr>
        <w:pStyle w:val="BalesHeading1"/>
        <w:rPr>
          <w:rStyle w:val="IntenseReference"/>
          <w:b/>
          <w:smallCaps/>
          <w:color w:val="003DA5"/>
        </w:rPr>
      </w:pPr>
      <w:r w:rsidRPr="002119E7">
        <w:rPr>
          <w:rStyle w:val="IntenseReference"/>
          <w:b/>
          <w:smallCaps/>
          <w:color w:val="003DA5"/>
        </w:rPr>
        <w:t xml:space="preserve">Principle 2: </w:t>
      </w:r>
      <w:r w:rsidR="00F41CED" w:rsidRPr="002119E7">
        <w:rPr>
          <w:rStyle w:val="IntenseReference"/>
          <w:b/>
          <w:smallCaps/>
          <w:color w:val="003DA5"/>
        </w:rPr>
        <w:t>Closely Examine New and Existing School Policies and Procedures</w:t>
      </w:r>
    </w:p>
    <w:p w14:paraId="6525B02B" w14:textId="0CB78FEA" w:rsidR="002B6B42" w:rsidRDefault="00F67912" w:rsidP="00D706AA">
      <w:r>
        <w:t>Schools across the nation are preparing student</w:t>
      </w:r>
      <w:r w:rsidR="00491ED4">
        <w:t xml:space="preserve">s to be </w:t>
      </w:r>
      <w:r w:rsidR="006B768D" w:rsidRPr="006B768D">
        <w:t>college and career ready</w:t>
      </w:r>
      <w:r w:rsidR="006B768D">
        <w:t xml:space="preserve"> </w:t>
      </w:r>
      <w:r w:rsidR="00491ED4">
        <w:t>through a focused approach closely aligned to academic performance</w:t>
      </w:r>
      <w:r>
        <w:t>.</w:t>
      </w:r>
      <w:r w:rsidR="00491ED4">
        <w:t xml:space="preserve"> Academic performance is the driving force of this holistic approach due to the prevalence and availability of </w:t>
      </w:r>
      <w:r w:rsidR="00927768">
        <w:t xml:space="preserve">course grades and </w:t>
      </w:r>
      <w:r w:rsidR="00491ED4">
        <w:t>standardized a</w:t>
      </w:r>
      <w:r w:rsidR="00F41CED">
        <w:t xml:space="preserve">ssessment information and data </w:t>
      </w:r>
      <w:r w:rsidR="00491ED4">
        <w:t>(</w:t>
      </w:r>
      <w:proofErr w:type="spellStart"/>
      <w:r w:rsidR="00491ED4">
        <w:t>Matter</w:t>
      </w:r>
      <w:r w:rsidR="00F41CED">
        <w:t>n</w:t>
      </w:r>
      <w:proofErr w:type="spellEnd"/>
      <w:r w:rsidR="00491ED4">
        <w:t xml:space="preserve"> </w:t>
      </w:r>
      <w:r w:rsidR="00F41CED">
        <w:t xml:space="preserve">et al., </w:t>
      </w:r>
      <w:r w:rsidR="00491ED4">
        <w:t>2014). The challenge of developing the hig</w:t>
      </w:r>
      <w:r w:rsidR="00553EB0">
        <w:t>hest level of performance on</w:t>
      </w:r>
      <w:r w:rsidR="00491ED4">
        <w:t xml:space="preserve"> </w:t>
      </w:r>
      <w:r w:rsidR="00927768">
        <w:t xml:space="preserve">course grades and </w:t>
      </w:r>
      <w:r w:rsidR="00491ED4">
        <w:t>s</w:t>
      </w:r>
      <w:r w:rsidR="00553EB0">
        <w:t>tandardized assessments results</w:t>
      </w:r>
      <w:r w:rsidR="00491ED4">
        <w:t xml:space="preserve"> in the development of strong policies and procedures around behaviors associ</w:t>
      </w:r>
      <w:r w:rsidR="00927768">
        <w:t xml:space="preserve">ated with academic performance. </w:t>
      </w:r>
      <w:r w:rsidR="00491ED4" w:rsidRPr="007F3189">
        <w:t xml:space="preserve">Examples </w:t>
      </w:r>
      <w:r w:rsidR="00927768">
        <w:t>include</w:t>
      </w:r>
      <w:r w:rsidR="002B6B42">
        <w:t>:</w:t>
      </w:r>
    </w:p>
    <w:p w14:paraId="22B343C8" w14:textId="77777777" w:rsidR="000C0444" w:rsidRDefault="000C0444" w:rsidP="00D706AA"/>
    <w:p w14:paraId="645FB4C7" w14:textId="7A4B2614" w:rsidR="002B6B42" w:rsidRDefault="00927768" w:rsidP="002B6B42">
      <w:pPr>
        <w:pStyle w:val="ListParagraph"/>
        <w:numPr>
          <w:ilvl w:val="0"/>
          <w:numId w:val="14"/>
        </w:numPr>
      </w:pPr>
      <w:proofErr w:type="gramStart"/>
      <w:r>
        <w:t>strong</w:t>
      </w:r>
      <w:proofErr w:type="gramEnd"/>
      <w:r w:rsidR="00491ED4" w:rsidRPr="007F3189">
        <w:t xml:space="preserve"> attendance polic</w:t>
      </w:r>
      <w:r>
        <w:t xml:space="preserve">ies </w:t>
      </w:r>
      <w:r w:rsidR="00B75919">
        <w:t xml:space="preserve">designed to encourage regular attendance. These policies often </w:t>
      </w:r>
      <w:r>
        <w:t>deny</w:t>
      </w:r>
      <w:r w:rsidR="00491ED4" w:rsidRPr="007F3189">
        <w:t xml:space="preserve"> credit after a specific number of absences</w:t>
      </w:r>
      <w:r w:rsidR="00B75919">
        <w:t>.</w:t>
      </w:r>
    </w:p>
    <w:p w14:paraId="1E334341" w14:textId="77777777" w:rsidR="00B75919" w:rsidRDefault="00B75919" w:rsidP="00B75919">
      <w:pPr>
        <w:pStyle w:val="ListParagraph"/>
      </w:pPr>
    </w:p>
    <w:p w14:paraId="52CA3F1F" w14:textId="1040DEEB" w:rsidR="002B6B42" w:rsidRDefault="002B6B42" w:rsidP="002B6B42">
      <w:pPr>
        <w:pStyle w:val="ListParagraph"/>
        <w:numPr>
          <w:ilvl w:val="0"/>
          <w:numId w:val="14"/>
        </w:numPr>
      </w:pPr>
      <w:proofErr w:type="gramStart"/>
      <w:r>
        <w:t>zero</w:t>
      </w:r>
      <w:proofErr w:type="gramEnd"/>
      <w:r>
        <w:t xml:space="preserve"> tolerance policies</w:t>
      </w:r>
      <w:r w:rsidR="00491ED4" w:rsidRPr="007F3189">
        <w:t>,</w:t>
      </w:r>
      <w:r>
        <w:t xml:space="preserve"> resulting in mandated suspensions or expulsions</w:t>
      </w:r>
      <w:r w:rsidR="00B75919">
        <w:t>.</w:t>
      </w:r>
    </w:p>
    <w:p w14:paraId="7002DC56" w14:textId="77777777" w:rsidR="00B75919" w:rsidRDefault="00B75919" w:rsidP="00B75919">
      <w:pPr>
        <w:pStyle w:val="ListParagraph"/>
      </w:pPr>
    </w:p>
    <w:p w14:paraId="21A93F72" w14:textId="43078320" w:rsidR="000C0444" w:rsidRDefault="0042560A" w:rsidP="000C0444">
      <w:pPr>
        <w:pStyle w:val="ListParagraph"/>
        <w:numPr>
          <w:ilvl w:val="0"/>
          <w:numId w:val="14"/>
        </w:numPr>
      </w:pPr>
      <w:proofErr w:type="gramStart"/>
      <w:r>
        <w:t>extracurricular</w:t>
      </w:r>
      <w:proofErr w:type="gramEnd"/>
      <w:r>
        <w:t xml:space="preserve"> and </w:t>
      </w:r>
      <w:proofErr w:type="spellStart"/>
      <w:r>
        <w:t>co</w:t>
      </w:r>
      <w:r w:rsidR="002B6B42">
        <w:t>curricular</w:t>
      </w:r>
      <w:proofErr w:type="spellEnd"/>
      <w:r w:rsidR="002B6B42">
        <w:t xml:space="preserve"> participation controlled by academic performance standards</w:t>
      </w:r>
      <w:r w:rsidR="00B75919">
        <w:t xml:space="preserve">. These programs often support enrollment of a specific student population and is an extrinsically motivating factor in school attendance. </w:t>
      </w:r>
    </w:p>
    <w:p w14:paraId="6042DC8A" w14:textId="77777777" w:rsidR="000C0444" w:rsidRDefault="000C0444" w:rsidP="000C0444">
      <w:pPr>
        <w:pStyle w:val="ListParagraph"/>
      </w:pPr>
    </w:p>
    <w:p w14:paraId="129310AE" w14:textId="40F05D7E" w:rsidR="00D706AA" w:rsidRDefault="00D706AA" w:rsidP="000C0444">
      <w:r>
        <w:t xml:space="preserve">A variety of policies and procedures may inhibit </w:t>
      </w:r>
      <w:r w:rsidR="00E65021">
        <w:t xml:space="preserve">school </w:t>
      </w:r>
      <w:r>
        <w:t xml:space="preserve">participation and success and likely encourage students to consider options other than school attendance. </w:t>
      </w:r>
      <w:r w:rsidR="00E65021">
        <w:t>Systems and schools should routinely evaluate policies, procedures, and practices from the perspective of student barriers to success. A good intentioned policy might reduce opportunities for some students resulting in a disconnection or withdrawal from the school environment.</w:t>
      </w:r>
    </w:p>
    <w:p w14:paraId="001A0959" w14:textId="09D90C35" w:rsidR="002B6B42" w:rsidRPr="00413319" w:rsidRDefault="002B6B42" w:rsidP="002119E7">
      <w:pPr>
        <w:pStyle w:val="BalesHeading2"/>
        <w:rPr>
          <w:rStyle w:val="IntenseReference"/>
          <w:color w:val="003DA5"/>
        </w:rPr>
      </w:pPr>
      <w:r w:rsidRPr="00413319">
        <w:rPr>
          <w:rStyle w:val="IntenseReference"/>
          <w:color w:val="003DA5"/>
        </w:rPr>
        <w:t xml:space="preserve">Rural </w:t>
      </w:r>
      <w:r w:rsidR="00001863" w:rsidRPr="00413319">
        <w:rPr>
          <w:rStyle w:val="IntenseReference"/>
          <w:color w:val="003DA5"/>
        </w:rPr>
        <w:t>Impact</w:t>
      </w:r>
    </w:p>
    <w:p w14:paraId="699A7274" w14:textId="4E804337" w:rsidR="002B6B42" w:rsidRDefault="00D370FE" w:rsidP="00D706AA">
      <w:r>
        <w:t>While the unintended consequences</w:t>
      </w:r>
      <w:r w:rsidR="002439FF">
        <w:t xml:space="preserve"> of increased apathy or school withdrawal may result from well-intentioned school policies and procedures, the rural student may experience fewer opportunities to recover and/or reverse the process.</w:t>
      </w:r>
      <w:r>
        <w:t xml:space="preserve"> </w:t>
      </w:r>
      <w:r w:rsidR="002439FF">
        <w:t>A</w:t>
      </w:r>
      <w:r w:rsidR="002B6B42">
        <w:t xml:space="preserve">ttendance policies </w:t>
      </w:r>
      <w:r w:rsidR="002439FF">
        <w:t xml:space="preserve">have the potential to force students out of school who are parents or responsible for others at home. </w:t>
      </w:r>
      <w:r w:rsidR="002B6B42">
        <w:t xml:space="preserve">Zero tolerance policies </w:t>
      </w:r>
      <w:r w:rsidR="002439FF">
        <w:t xml:space="preserve">may place </w:t>
      </w:r>
      <w:r w:rsidR="003E0B76">
        <w:t xml:space="preserve">students in situations </w:t>
      </w:r>
      <w:r w:rsidR="002B6B42">
        <w:t xml:space="preserve">they </w:t>
      </w:r>
      <w:r w:rsidR="002439FF">
        <w:t>cannot academically recover</w:t>
      </w:r>
      <w:r w:rsidR="003E0B76">
        <w:t xml:space="preserve"> from</w:t>
      </w:r>
      <w:r w:rsidR="002439FF">
        <w:t>, and e</w:t>
      </w:r>
      <w:r>
        <w:t>x</w:t>
      </w:r>
      <w:r w:rsidR="0042560A">
        <w:t xml:space="preserve">tracurricular and </w:t>
      </w:r>
      <w:proofErr w:type="spellStart"/>
      <w:r w:rsidR="0042560A">
        <w:t>co</w:t>
      </w:r>
      <w:r>
        <w:t>curricular</w:t>
      </w:r>
      <w:proofErr w:type="spellEnd"/>
      <w:r>
        <w:t xml:space="preserve"> </w:t>
      </w:r>
      <w:r w:rsidR="00416394">
        <w:t xml:space="preserve">activity participation linked to academic performance may </w:t>
      </w:r>
      <w:r w:rsidR="002439FF">
        <w:t>cause student</w:t>
      </w:r>
      <w:r w:rsidR="003E0B76">
        <w:t xml:space="preserve"> </w:t>
      </w:r>
      <w:r w:rsidR="002439FF">
        <w:t>withdraw</w:t>
      </w:r>
      <w:r w:rsidR="003E0B76">
        <w:t>al if that academic performance prohibit</w:t>
      </w:r>
      <w:r w:rsidR="00055A38">
        <w:t xml:space="preserve">s their participation in </w:t>
      </w:r>
      <w:r w:rsidR="003E0B76">
        <w:t>activities they enjoy.</w:t>
      </w:r>
      <w:r w:rsidR="00416394">
        <w:t xml:space="preserve"> </w:t>
      </w:r>
      <w:r w:rsidR="002B6B42">
        <w:t xml:space="preserve"> </w:t>
      </w:r>
    </w:p>
    <w:p w14:paraId="3399768B" w14:textId="4261C1A8" w:rsidR="00261F3E" w:rsidRPr="002119E7" w:rsidRDefault="00293F66" w:rsidP="002119E7">
      <w:pPr>
        <w:pStyle w:val="BalesHeading1"/>
        <w:rPr>
          <w:rStyle w:val="IntenseReference"/>
          <w:b/>
          <w:smallCaps/>
          <w:color w:val="003DA5"/>
        </w:rPr>
      </w:pPr>
      <w:r w:rsidRPr="002119E7">
        <w:rPr>
          <w:rStyle w:val="IntenseReference"/>
          <w:b/>
          <w:smallCaps/>
          <w:color w:val="003DA5"/>
        </w:rPr>
        <w:t xml:space="preserve">Principle 3: </w:t>
      </w:r>
      <w:r w:rsidR="00A85D7B" w:rsidRPr="002119E7">
        <w:rPr>
          <w:rStyle w:val="IntenseReference"/>
          <w:b/>
          <w:smallCaps/>
          <w:color w:val="003DA5"/>
        </w:rPr>
        <w:t>Build Strong Community Partnerships and Personalize Your School</w:t>
      </w:r>
    </w:p>
    <w:p w14:paraId="57AC46B9" w14:textId="3325D8F5" w:rsidR="00D85D88" w:rsidRDefault="003C2059" w:rsidP="00D85D88">
      <w:r w:rsidRPr="004C08CA">
        <w:t>Almost 20</w:t>
      </w:r>
      <w:r w:rsidR="0042560A">
        <w:t>%</w:t>
      </w:r>
      <w:r w:rsidRPr="004C08CA">
        <w:t xml:space="preserve"> of students who drop</w:t>
      </w:r>
      <w:r w:rsidR="00026F26">
        <w:t>ped</w:t>
      </w:r>
      <w:r w:rsidRPr="004C08CA">
        <w:t xml:space="preserve"> out of school </w:t>
      </w:r>
      <w:r w:rsidR="00D85D88" w:rsidRPr="004C08CA">
        <w:t xml:space="preserve">report they </w:t>
      </w:r>
      <w:r w:rsidRPr="004C08CA">
        <w:t>fe</w:t>
      </w:r>
      <w:r w:rsidR="00D85D88" w:rsidRPr="004C08CA">
        <w:t>lt</w:t>
      </w:r>
      <w:r w:rsidRPr="004C08CA">
        <w:t xml:space="preserve"> like they did not belong </w:t>
      </w:r>
      <w:r w:rsidR="00553EB0" w:rsidRPr="004C08CA">
        <w:t>in that environment or</w:t>
      </w:r>
      <w:r w:rsidRPr="004C08CA">
        <w:t xml:space="preserve"> they </w:t>
      </w:r>
      <w:r w:rsidR="00553EB0" w:rsidRPr="004C08CA">
        <w:t>had challenges getting along with other students. Twenty-five</w:t>
      </w:r>
      <w:r w:rsidRPr="004C08CA">
        <w:t xml:space="preserve"> percent</w:t>
      </w:r>
      <w:r w:rsidR="00553EB0" w:rsidRPr="004C08CA">
        <w:t xml:space="preserve"> reported </w:t>
      </w:r>
      <w:r w:rsidRPr="004C08CA">
        <w:t xml:space="preserve">they could not get along with teachers (Doll, </w:t>
      </w:r>
      <w:proofErr w:type="spellStart"/>
      <w:r w:rsidRPr="004C08CA">
        <w:t>Eslami</w:t>
      </w:r>
      <w:proofErr w:type="spellEnd"/>
      <w:r w:rsidRPr="004C08CA">
        <w:t>, &amp; Walters, 2013</w:t>
      </w:r>
      <w:r w:rsidRPr="006B768D">
        <w:t>).</w:t>
      </w:r>
      <w:r w:rsidR="00D85D88" w:rsidRPr="006B768D">
        <w:t xml:space="preserve"> </w:t>
      </w:r>
      <w:r w:rsidRPr="006B768D">
        <w:t xml:space="preserve">Edwards </w:t>
      </w:r>
      <w:r w:rsidR="0042560A" w:rsidRPr="006B768D">
        <w:t>and</w:t>
      </w:r>
      <w:r w:rsidRPr="006B768D">
        <w:t xml:space="preserve"> Edwards </w:t>
      </w:r>
      <w:r w:rsidR="00D85D88" w:rsidRPr="006B768D">
        <w:t>(2007) recommend building community partnership</w:t>
      </w:r>
      <w:r w:rsidR="00D85D88" w:rsidRPr="004C08CA">
        <w:t>s and personalizing school to address these statistics. They emphasize three targets for partnership development:</w:t>
      </w:r>
    </w:p>
    <w:p w14:paraId="24A71E46" w14:textId="77777777" w:rsidR="000C0444" w:rsidRPr="004C08CA" w:rsidRDefault="000C0444" w:rsidP="00D85D88"/>
    <w:p w14:paraId="79AC379D" w14:textId="4E010DCA" w:rsidR="00D85D88" w:rsidRPr="004C08CA" w:rsidRDefault="00D85D88" w:rsidP="000C0444">
      <w:pPr>
        <w:pStyle w:val="ListParagraph"/>
        <w:numPr>
          <w:ilvl w:val="0"/>
          <w:numId w:val="6"/>
        </w:numPr>
        <w:spacing w:line="360" w:lineRule="auto"/>
      </w:pPr>
      <w:r w:rsidRPr="004C08CA">
        <w:t>expose students</w:t>
      </w:r>
      <w:r w:rsidR="003C2059" w:rsidRPr="004C08CA">
        <w:t xml:space="preserve"> to d</w:t>
      </w:r>
      <w:r w:rsidRPr="004C08CA">
        <w:t>iverse, cultural opportunities</w:t>
      </w:r>
      <w:r w:rsidR="0042560A">
        <w:t>;</w:t>
      </w:r>
      <w:r w:rsidRPr="004C08CA">
        <w:t>,</w:t>
      </w:r>
    </w:p>
    <w:p w14:paraId="16674BDD" w14:textId="177B4341" w:rsidR="00D85D88" w:rsidRPr="004C08CA" w:rsidRDefault="00D85D88" w:rsidP="000C0444">
      <w:pPr>
        <w:pStyle w:val="ListParagraph"/>
        <w:numPr>
          <w:ilvl w:val="0"/>
          <w:numId w:val="6"/>
        </w:numPr>
        <w:spacing w:line="360" w:lineRule="auto"/>
      </w:pPr>
      <w:r w:rsidRPr="004C08CA">
        <w:t>partner</w:t>
      </w:r>
      <w:r w:rsidR="003C2059" w:rsidRPr="004C08CA">
        <w:t xml:space="preserve"> with community businesses </w:t>
      </w:r>
      <w:r w:rsidRPr="004C08CA">
        <w:t>to seek funds, internships, etc.</w:t>
      </w:r>
      <w:r w:rsidR="0042560A">
        <w:t>;</w:t>
      </w:r>
      <w:r w:rsidRPr="004C08CA">
        <w:t xml:space="preserve"> and</w:t>
      </w:r>
    </w:p>
    <w:p w14:paraId="11733E25" w14:textId="77777777" w:rsidR="00D85D88" w:rsidRPr="004C08CA" w:rsidRDefault="00D85D88" w:rsidP="000C0444">
      <w:pPr>
        <w:pStyle w:val="ListParagraph"/>
        <w:numPr>
          <w:ilvl w:val="0"/>
          <w:numId w:val="6"/>
        </w:numPr>
        <w:spacing w:line="360" w:lineRule="auto"/>
      </w:pPr>
      <w:proofErr w:type="gramStart"/>
      <w:r w:rsidRPr="004C08CA">
        <w:t>implement</w:t>
      </w:r>
      <w:proofErr w:type="gramEnd"/>
      <w:r w:rsidRPr="004C08CA">
        <w:t xml:space="preserve"> </w:t>
      </w:r>
      <w:r w:rsidR="003C2059" w:rsidRPr="004C08CA">
        <w:t xml:space="preserve">service-learning projects. </w:t>
      </w:r>
    </w:p>
    <w:p w14:paraId="14BB1405" w14:textId="59D5300F" w:rsidR="00A539AC" w:rsidRDefault="005A5546" w:rsidP="00D85D88">
      <w:r w:rsidRPr="004C08CA">
        <w:t xml:space="preserve">School personalization occurs when relationship development becomes a priority in schools or systems. This can be accomplished through extended student-adult contact time with strategies like looping and teaming (Edwards &amp; Edwards, 2007).  </w:t>
      </w:r>
    </w:p>
    <w:p w14:paraId="0DE8C4ED" w14:textId="6D52AE1B" w:rsidR="00026F26" w:rsidRPr="00413319" w:rsidRDefault="00026F26" w:rsidP="002119E7">
      <w:pPr>
        <w:pStyle w:val="BalesHeading2"/>
        <w:rPr>
          <w:rStyle w:val="IntenseReference"/>
          <w:color w:val="003DA5"/>
        </w:rPr>
      </w:pPr>
      <w:r w:rsidRPr="00413319">
        <w:rPr>
          <w:rStyle w:val="IntenseReference"/>
          <w:color w:val="003DA5"/>
        </w:rPr>
        <w:t xml:space="preserve">Rural </w:t>
      </w:r>
      <w:r w:rsidR="00001863" w:rsidRPr="00413319">
        <w:rPr>
          <w:rStyle w:val="IntenseReference"/>
          <w:color w:val="003DA5"/>
        </w:rPr>
        <w:t>Impact</w:t>
      </w:r>
    </w:p>
    <w:p w14:paraId="560FA282" w14:textId="6D0BBB5D" w:rsidR="00001863" w:rsidRDefault="00026F26" w:rsidP="00D85D88">
      <w:r>
        <w:t xml:space="preserve">Lower population density often with a similarly focused livelihood does not provide for the same diversity and cultural opportunities of a more urban environment. Community businesses are typically more sparse reducing internship and service-learning opportunities. </w:t>
      </w:r>
      <w:r w:rsidR="00CB7698">
        <w:t>However, strong community relationships among tight-knit community members are typically at the heart of rural schools. Family ties, neighborhood connections, and local history are more important than in urban or suburban contexts and require little cultivation by the rural prin</w:t>
      </w:r>
      <w:r w:rsidR="000C0444">
        <w:t xml:space="preserve">cipal to benefit students. Rural areas may also </w:t>
      </w:r>
      <w:r w:rsidR="00055A38">
        <w:t xml:space="preserve">target the faith community to assist in the absence of or in conjunction with the business community. In areas where the faith community is strong, recruitment of </w:t>
      </w:r>
      <w:r w:rsidR="000C0444">
        <w:t xml:space="preserve">local </w:t>
      </w:r>
      <w:r w:rsidR="00055A38">
        <w:t>church</w:t>
      </w:r>
      <w:r w:rsidR="000C0444">
        <w:t>es</w:t>
      </w:r>
      <w:r w:rsidR="00055A38">
        <w:t xml:space="preserve"> is essential to building a support structure for at-risk youth.  </w:t>
      </w:r>
      <w:r w:rsidR="00CB7698">
        <w:t xml:space="preserve"> </w:t>
      </w:r>
    </w:p>
    <w:p w14:paraId="361C53D7" w14:textId="69A23D4D" w:rsidR="00AF5107" w:rsidRPr="00413319" w:rsidRDefault="00AF5107" w:rsidP="002119E7">
      <w:pPr>
        <w:pStyle w:val="BalesHeading2"/>
        <w:rPr>
          <w:rStyle w:val="IntenseReference"/>
          <w:color w:val="003DA5"/>
        </w:rPr>
      </w:pPr>
      <w:r w:rsidRPr="00413319">
        <w:rPr>
          <w:rStyle w:val="IntenseReference"/>
          <w:color w:val="003DA5"/>
        </w:rPr>
        <w:t>An Example of Utilizing the Faith Community in the Rural Context</w:t>
      </w:r>
    </w:p>
    <w:p w14:paraId="77C92383" w14:textId="427374E4" w:rsidR="00AF5107" w:rsidRDefault="00AF5107" w:rsidP="00AF5107">
      <w:r>
        <w:t>In</w:t>
      </w:r>
      <w:r w:rsidR="000C0444">
        <w:t xml:space="preserve"> a rural area of South Carolina</w:t>
      </w:r>
      <w:r>
        <w:t xml:space="preserve"> a small African-American church mobilized a variety of resources to support graduation rate improvement. After attending a principal-organized dropout prevention discussion among community leaders at Ware Shoals High School, Rev</w:t>
      </w:r>
      <w:r w:rsidR="0042560A">
        <w:t>.</w:t>
      </w:r>
      <w:r>
        <w:t xml:space="preserve"> James Davis </w:t>
      </w:r>
      <w:r w:rsidR="000C0444">
        <w:t xml:space="preserve">decided </w:t>
      </w:r>
      <w:r>
        <w:t>to make high school graduation the theme of the youth ministry at Dunn Creek Baptist Church. Rev</w:t>
      </w:r>
      <w:r w:rsidR="0042560A">
        <w:t>.</w:t>
      </w:r>
      <w:r>
        <w:t xml:space="preserve"> Davis invited local educators into his church and organized youth services and events that focused on school success, youth responsibility, and the moral imperative of school completion. He taught parents, grandparents, aunts, and </w:t>
      </w:r>
      <w:proofErr w:type="gramStart"/>
      <w:r>
        <w:t>uncles</w:t>
      </w:r>
      <w:proofErr w:type="gramEnd"/>
      <w:r>
        <w:t xml:space="preserve"> strategies for supporting young people in school. Cooperating with school administrators, Rev</w:t>
      </w:r>
      <w:r w:rsidR="0042560A">
        <w:t>.</w:t>
      </w:r>
      <w:r>
        <w:t xml:space="preserve"> Davis and his church led the Ware Shoals community to voice a consistent message of high expectations and graduation to all youth of the community.</w:t>
      </w:r>
      <w:r w:rsidR="000C0444">
        <w:t xml:space="preserve"> The focused initiative presented a consistent message to the students in the Ware Shoals High School district</w:t>
      </w:r>
      <w:r w:rsidR="00E22138">
        <w:t xml:space="preserve"> that the church and community supported strong high school completion goals and provided another layer of support to at-risk students. </w:t>
      </w:r>
    </w:p>
    <w:p w14:paraId="19C58097" w14:textId="66A14DDD" w:rsidR="005A5546" w:rsidRPr="002119E7" w:rsidRDefault="00293F66" w:rsidP="002119E7">
      <w:pPr>
        <w:pStyle w:val="BalesHeading1"/>
        <w:rPr>
          <w:rStyle w:val="IntenseReference"/>
          <w:b/>
          <w:smallCaps/>
          <w:color w:val="003DA5"/>
        </w:rPr>
      </w:pPr>
      <w:r w:rsidRPr="002119E7">
        <w:rPr>
          <w:rStyle w:val="IntenseReference"/>
          <w:b/>
          <w:smallCaps/>
          <w:color w:val="003DA5"/>
        </w:rPr>
        <w:t xml:space="preserve">Principle 4: </w:t>
      </w:r>
      <w:r w:rsidR="00A85D7B" w:rsidRPr="002119E7">
        <w:rPr>
          <w:rStyle w:val="IntenseReference"/>
          <w:b/>
          <w:smallCaps/>
          <w:color w:val="003DA5"/>
        </w:rPr>
        <w:t>Reduce Social Isolation</w:t>
      </w:r>
    </w:p>
    <w:p w14:paraId="5C22D28C" w14:textId="2DA63C21" w:rsidR="0057401D" w:rsidRPr="00FF2FE1" w:rsidRDefault="00FD29C5" w:rsidP="000217F2">
      <w:r w:rsidRPr="005A5546">
        <w:rPr>
          <w:shd w:val="clear" w:color="auto" w:fill="FFFFFF"/>
        </w:rPr>
        <w:t>School psychologists Hale and Canter (</w:t>
      </w:r>
      <w:proofErr w:type="spellStart"/>
      <w:r w:rsidRPr="005A5546">
        <w:rPr>
          <w:shd w:val="clear" w:color="auto" w:fill="FFFFFF"/>
        </w:rPr>
        <w:t>n.d.</w:t>
      </w:r>
      <w:proofErr w:type="spellEnd"/>
      <w:r w:rsidRPr="005A5546">
        <w:rPr>
          <w:shd w:val="clear" w:color="auto" w:fill="FFFFFF"/>
        </w:rPr>
        <w:t>) indicate that st</w:t>
      </w:r>
      <w:r w:rsidR="00085A10" w:rsidRPr="005A5546">
        <w:rPr>
          <w:shd w:val="clear" w:color="auto" w:fill="FFFFFF"/>
        </w:rPr>
        <w:t>udents “</w:t>
      </w:r>
      <w:r w:rsidR="00D171E6" w:rsidRPr="005A5546">
        <w:rPr>
          <w:shd w:val="clear" w:color="auto" w:fill="FFFFFF"/>
        </w:rPr>
        <w:t>must have something positive to look forward to that will meet the kinship/companionship needs of being a teenager. If they aren't able to meet these needs in the school setting, they often find ways to meet these needs in less desirable settings and groups.</w:t>
      </w:r>
      <w:r w:rsidR="00085A10" w:rsidRPr="005A5546">
        <w:rPr>
          <w:shd w:val="clear" w:color="auto" w:fill="FFFFFF"/>
        </w:rPr>
        <w:t>”</w:t>
      </w:r>
      <w:r w:rsidR="006B23B4">
        <w:rPr>
          <w:shd w:val="clear" w:color="auto" w:fill="FFFFFF"/>
        </w:rPr>
        <w:t xml:space="preserve"> </w:t>
      </w:r>
      <w:r w:rsidR="00E65DCB" w:rsidRPr="00FF2FE1">
        <w:t xml:space="preserve">A school principal </w:t>
      </w:r>
      <w:r w:rsidR="00417B38" w:rsidRPr="00FF2FE1">
        <w:t xml:space="preserve">has the </w:t>
      </w:r>
      <w:r w:rsidR="00E65DCB" w:rsidRPr="00FF2FE1">
        <w:t>responsibility and challenge of incorporating all students into the school community. There are several action steps that can be completed in this effort. They include:</w:t>
      </w:r>
    </w:p>
    <w:p w14:paraId="623A65BB" w14:textId="77777777" w:rsidR="00E22138" w:rsidRDefault="00E22138" w:rsidP="000217F2"/>
    <w:p w14:paraId="35A0F255" w14:textId="1F8F9456" w:rsidR="0057401D" w:rsidRPr="00FF2FE1" w:rsidRDefault="0057401D" w:rsidP="000217F2">
      <w:r w:rsidRPr="00FF2FE1">
        <w:t>Action Step 1: Identify Withdrawal Behavior</w:t>
      </w:r>
    </w:p>
    <w:p w14:paraId="0AC1305E" w14:textId="2BE50812" w:rsidR="00462846" w:rsidRDefault="00E65DCB" w:rsidP="00BF7DF7">
      <w:pPr>
        <w:pStyle w:val="ListParagraph"/>
        <w:numPr>
          <w:ilvl w:val="0"/>
          <w:numId w:val="9"/>
        </w:numPr>
      </w:pPr>
      <w:r w:rsidRPr="00FF2FE1">
        <w:t xml:space="preserve">Observe the student body </w:t>
      </w:r>
      <w:r w:rsidR="006B6C01" w:rsidRPr="00FF2FE1">
        <w:t>for indications that a</w:t>
      </w:r>
      <w:r w:rsidR="001F5589" w:rsidRPr="00FF2FE1">
        <w:t>ny</w:t>
      </w:r>
      <w:r w:rsidR="006B6C01" w:rsidRPr="00FF2FE1">
        <w:t xml:space="preserve"> student (or group of students) is growing more al</w:t>
      </w:r>
      <w:r w:rsidR="00417B38" w:rsidRPr="00FF2FE1">
        <w:t xml:space="preserve">oof or withdrawing from others. </w:t>
      </w:r>
    </w:p>
    <w:p w14:paraId="0C736CE4" w14:textId="77777777" w:rsidR="00E22138" w:rsidRDefault="00E22138" w:rsidP="00E22138">
      <w:pPr>
        <w:pStyle w:val="ListParagraph"/>
      </w:pPr>
    </w:p>
    <w:p w14:paraId="37E03122" w14:textId="30694444" w:rsidR="0057401D" w:rsidRPr="00FF2FE1" w:rsidRDefault="0057401D" w:rsidP="000217F2">
      <w:r w:rsidRPr="00FF2FE1">
        <w:t>Action Step 2: Provide Leadership Support</w:t>
      </w:r>
    </w:p>
    <w:p w14:paraId="3BB5D1DA" w14:textId="56CE2D7A" w:rsidR="00417B38" w:rsidRPr="00FF2FE1" w:rsidRDefault="006B23B4" w:rsidP="00BF7DF7">
      <w:pPr>
        <w:pStyle w:val="ListParagraph"/>
        <w:numPr>
          <w:ilvl w:val="0"/>
          <w:numId w:val="9"/>
        </w:numPr>
      </w:pPr>
      <w:r>
        <w:t>Implement</w:t>
      </w:r>
      <w:r w:rsidR="00417B38" w:rsidRPr="00FF2FE1">
        <w:t xml:space="preserve"> </w:t>
      </w:r>
      <w:r w:rsidR="007D0535">
        <w:t xml:space="preserve">staff </w:t>
      </w:r>
      <w:r w:rsidR="00417B38" w:rsidRPr="00FF2FE1">
        <w:t>professional learning</w:t>
      </w:r>
      <w:r>
        <w:t xml:space="preserve"> that</w:t>
      </w:r>
      <w:r w:rsidR="007D0535">
        <w:t xml:space="preserve"> support</w:t>
      </w:r>
      <w:r>
        <w:t>s the</w:t>
      </w:r>
      <w:r w:rsidR="007D0535">
        <w:t xml:space="preserve"> identification </w:t>
      </w:r>
      <w:r>
        <w:t xml:space="preserve">of school isolation behaviors </w:t>
      </w:r>
      <w:r w:rsidR="007D0535">
        <w:t xml:space="preserve">and </w:t>
      </w:r>
      <w:r>
        <w:t xml:space="preserve">defines </w:t>
      </w:r>
      <w:r w:rsidR="007D0535">
        <w:t xml:space="preserve">strategies for </w:t>
      </w:r>
      <w:r>
        <w:t>alleviating or addressing those behaviors</w:t>
      </w:r>
      <w:r w:rsidR="007D0535">
        <w:t>.</w:t>
      </w:r>
      <w:r w:rsidR="006B6C01" w:rsidRPr="00FF2FE1">
        <w:t xml:space="preserve"> </w:t>
      </w:r>
    </w:p>
    <w:p w14:paraId="5EC73F87" w14:textId="3FC46DB8" w:rsidR="00E22138" w:rsidRDefault="0057401D" w:rsidP="00E22138">
      <w:pPr>
        <w:pStyle w:val="ListParagraph"/>
        <w:numPr>
          <w:ilvl w:val="0"/>
          <w:numId w:val="9"/>
        </w:numPr>
      </w:pPr>
      <w:r w:rsidRPr="00FF2FE1">
        <w:t>Practice proactive measures to inhibit isolation opportunities</w:t>
      </w:r>
      <w:r w:rsidR="006B23B4">
        <w:t xml:space="preserve">. These may include </w:t>
      </w:r>
      <w:r w:rsidR="006B6C01" w:rsidRPr="00FF2FE1">
        <w:t xml:space="preserve">assigning students to specific curricular groups or centers, </w:t>
      </w:r>
      <w:r w:rsidR="006B23B4">
        <w:t>modeling positive interactions with students, and identifying reasons students feel isolation and possibly abandonment.</w:t>
      </w:r>
    </w:p>
    <w:p w14:paraId="6B5B7D42" w14:textId="5BE0051D" w:rsidR="006B6C01" w:rsidRDefault="006B23B4" w:rsidP="00BF7DF7">
      <w:pPr>
        <w:pStyle w:val="ListParagraph"/>
        <w:numPr>
          <w:ilvl w:val="0"/>
          <w:numId w:val="9"/>
        </w:numPr>
      </w:pPr>
      <w:r>
        <w:t>Support</w:t>
      </w:r>
      <w:r w:rsidR="006B6C01" w:rsidRPr="00FF2FE1">
        <w:t xml:space="preserve"> counseling </w:t>
      </w:r>
      <w:r>
        <w:t>and/</w:t>
      </w:r>
      <w:r w:rsidR="006B6C01" w:rsidRPr="00FF2FE1">
        <w:t xml:space="preserve">or other forms of </w:t>
      </w:r>
      <w:r>
        <w:t xml:space="preserve">available </w:t>
      </w:r>
      <w:r w:rsidR="004C08CA">
        <w:t>assistance</w:t>
      </w:r>
      <w:r w:rsidR="006B6C01" w:rsidRPr="00FF2FE1">
        <w:t>.</w:t>
      </w:r>
    </w:p>
    <w:p w14:paraId="3C310420" w14:textId="77777777" w:rsidR="00E22138" w:rsidRPr="00FF2FE1" w:rsidRDefault="00E22138" w:rsidP="00E22138">
      <w:pPr>
        <w:pStyle w:val="ListParagraph"/>
      </w:pPr>
    </w:p>
    <w:p w14:paraId="153ABCF0" w14:textId="70F2B9FD" w:rsidR="0057401D" w:rsidRPr="00FF2FE1" w:rsidRDefault="0057401D" w:rsidP="000217F2">
      <w:r w:rsidRPr="00FF2FE1">
        <w:t xml:space="preserve">Action Step 3: </w:t>
      </w:r>
      <w:r w:rsidR="004C08CA">
        <w:t xml:space="preserve">Institute </w:t>
      </w:r>
      <w:r w:rsidRPr="00FF2FE1">
        <w:t>Direct Intervention</w:t>
      </w:r>
    </w:p>
    <w:p w14:paraId="0473CAC3" w14:textId="77777777" w:rsidR="0057401D" w:rsidRPr="00FF2FE1" w:rsidRDefault="0057401D" w:rsidP="00BF7DF7">
      <w:pPr>
        <w:pStyle w:val="ListParagraph"/>
        <w:numPr>
          <w:ilvl w:val="0"/>
          <w:numId w:val="10"/>
        </w:numPr>
      </w:pPr>
      <w:r w:rsidRPr="00FF2FE1">
        <w:t>Develop relationships with students experiencing isolation and/or withdrawing from the school community.</w:t>
      </w:r>
    </w:p>
    <w:p w14:paraId="6E2976A1" w14:textId="2C112B2E" w:rsidR="00E22138" w:rsidRDefault="00FF2FE1" w:rsidP="00BF7DF7">
      <w:pPr>
        <w:pStyle w:val="ListParagraph"/>
        <w:numPr>
          <w:ilvl w:val="0"/>
          <w:numId w:val="10"/>
        </w:numPr>
      </w:pPr>
      <w:r w:rsidRPr="00FF2FE1">
        <w:t xml:space="preserve">Establish and monitor </w:t>
      </w:r>
      <w:r w:rsidR="004C08CA">
        <w:t xml:space="preserve">various types of </w:t>
      </w:r>
      <w:r w:rsidRPr="00FF2FE1">
        <w:t xml:space="preserve">mentoring programs </w:t>
      </w:r>
      <w:r w:rsidR="004C08CA">
        <w:t xml:space="preserve">including peer programs </w:t>
      </w:r>
      <w:r w:rsidRPr="00FF2FE1">
        <w:t xml:space="preserve">that pair incoming students with current students to avoid withdrawal or isolation </w:t>
      </w:r>
      <w:r w:rsidR="00E22138">
        <w:t xml:space="preserve">because of </w:t>
      </w:r>
      <w:r w:rsidRPr="00FF2FE1">
        <w:t>unfamiliarity</w:t>
      </w:r>
      <w:r w:rsidR="00E22138">
        <w:t xml:space="preserve"> with the school and/or community</w:t>
      </w:r>
      <w:r w:rsidRPr="00FF2FE1">
        <w:t>.</w:t>
      </w:r>
    </w:p>
    <w:p w14:paraId="74CE8D74" w14:textId="3B4200E7" w:rsidR="00FF2FE1" w:rsidRPr="00FF2FE1" w:rsidRDefault="00FF2FE1" w:rsidP="00E22138">
      <w:pPr>
        <w:pStyle w:val="ListParagraph"/>
      </w:pPr>
      <w:r w:rsidRPr="00FF2FE1">
        <w:t xml:space="preserve"> </w:t>
      </w:r>
    </w:p>
    <w:p w14:paraId="5E4E9837" w14:textId="77777777" w:rsidR="00FF2FE1" w:rsidRPr="00FF2FE1" w:rsidRDefault="00FF2FE1" w:rsidP="000217F2">
      <w:r w:rsidRPr="00FF2FE1">
        <w:t>Action Step 4: Serve as a Role Model</w:t>
      </w:r>
    </w:p>
    <w:p w14:paraId="744B253A" w14:textId="68D645FE" w:rsidR="006B6C01" w:rsidRDefault="00FF2FE1" w:rsidP="00BF7DF7">
      <w:pPr>
        <w:pStyle w:val="ListParagraph"/>
        <w:numPr>
          <w:ilvl w:val="0"/>
          <w:numId w:val="11"/>
        </w:numPr>
      </w:pPr>
      <w:r w:rsidRPr="00FF2FE1">
        <w:t xml:space="preserve">Accept all students and provide opportunities for all students to be included in the school community; be willing to accept a perspective that is outside the norm. </w:t>
      </w:r>
    </w:p>
    <w:p w14:paraId="6EFE602A" w14:textId="288FD40C" w:rsidR="00EA7F0E" w:rsidRPr="00413319" w:rsidRDefault="00EA7F0E" w:rsidP="00624C38">
      <w:pPr>
        <w:pStyle w:val="BalesHeading2"/>
        <w:rPr>
          <w:rStyle w:val="IntenseReference"/>
          <w:color w:val="003DA5"/>
        </w:rPr>
      </w:pPr>
      <w:r w:rsidRPr="00413319">
        <w:rPr>
          <w:rStyle w:val="IntenseReference"/>
          <w:color w:val="003DA5"/>
        </w:rPr>
        <w:t xml:space="preserve">Rural </w:t>
      </w:r>
      <w:r w:rsidR="00001863" w:rsidRPr="00413319">
        <w:rPr>
          <w:rStyle w:val="IntenseReference"/>
          <w:color w:val="003DA5"/>
        </w:rPr>
        <w:t>Impact</w:t>
      </w:r>
    </w:p>
    <w:p w14:paraId="72747A66" w14:textId="181F0B49" w:rsidR="00EA7F0E" w:rsidRPr="006B6C01" w:rsidRDefault="00EA7F0E" w:rsidP="00EA7F0E">
      <w:r>
        <w:t xml:space="preserve">Rural environments often embrace </w:t>
      </w:r>
      <w:r w:rsidR="00E07749">
        <w:t xml:space="preserve">larger </w:t>
      </w:r>
      <w:r>
        <w:t xml:space="preserve">areas with smaller population densities than urban and suburban environments. Physical separation may </w:t>
      </w:r>
      <w:r w:rsidR="00E07749">
        <w:t xml:space="preserve">result in </w:t>
      </w:r>
      <w:r>
        <w:t xml:space="preserve">reduced student relationship development. Effective initiatives to address </w:t>
      </w:r>
      <w:r w:rsidRPr="00E07749">
        <w:t>social isolation</w:t>
      </w:r>
      <w:r w:rsidR="00CB7698">
        <w:t xml:space="preserve"> involve strategies for building str</w:t>
      </w:r>
      <w:r w:rsidR="006379A1">
        <w:t xml:space="preserve">ong community partnerships. Through business partnerships, exposure to diversity, and participation in </w:t>
      </w:r>
      <w:r w:rsidRPr="00E07749">
        <w:t>service-learning projects</w:t>
      </w:r>
      <w:r w:rsidR="006379A1">
        <w:t xml:space="preserve"> students have the opportunity to become involved</w:t>
      </w:r>
      <w:r w:rsidRPr="00E07749">
        <w:t xml:space="preserve">. In a rural environment diverse exposure may be the most challenging. It is likely that the community is built around a single source of livelihood. This would attract similar workers with similar skills. Rural families often share the same revenue source and work toward a common goal </w:t>
      </w:r>
      <w:r w:rsidR="00E07749" w:rsidRPr="00E07749">
        <w:t xml:space="preserve">with similar people in a homogeneous community </w:t>
      </w:r>
      <w:r w:rsidRPr="00E07749">
        <w:t xml:space="preserve">reducing the opportunity for </w:t>
      </w:r>
      <w:r w:rsidR="00E07749" w:rsidRPr="00E07749">
        <w:t>diversity exposure</w:t>
      </w:r>
      <w:r w:rsidRPr="00E07749">
        <w:t>.</w:t>
      </w:r>
    </w:p>
    <w:p w14:paraId="4D390E45" w14:textId="5534F70B" w:rsidR="00261F3E" w:rsidRPr="002119E7" w:rsidRDefault="00293F66" w:rsidP="00624C38">
      <w:pPr>
        <w:pStyle w:val="BalesHeading1"/>
        <w:rPr>
          <w:rStyle w:val="IntenseReference"/>
          <w:b/>
          <w:smallCaps/>
          <w:color w:val="003DA5"/>
        </w:rPr>
      </w:pPr>
      <w:r w:rsidRPr="002119E7">
        <w:rPr>
          <w:rStyle w:val="IntenseReference"/>
          <w:b/>
          <w:smallCaps/>
          <w:color w:val="003DA5"/>
        </w:rPr>
        <w:t xml:space="preserve">Principle 5: </w:t>
      </w:r>
      <w:r w:rsidR="00A85D7B" w:rsidRPr="002119E7">
        <w:rPr>
          <w:rStyle w:val="IntenseReference"/>
          <w:b/>
          <w:smallCaps/>
          <w:color w:val="003DA5"/>
        </w:rPr>
        <w:t>Manage</w:t>
      </w:r>
      <w:r w:rsidR="00EA26E3" w:rsidRPr="002119E7">
        <w:rPr>
          <w:rStyle w:val="IntenseReference"/>
          <w:b/>
          <w:smallCaps/>
          <w:color w:val="003DA5"/>
        </w:rPr>
        <w:t xml:space="preserve"> S</w:t>
      </w:r>
      <w:r w:rsidR="00261F3E" w:rsidRPr="002119E7">
        <w:rPr>
          <w:rStyle w:val="IntenseReference"/>
          <w:b/>
          <w:smallCaps/>
          <w:color w:val="003DA5"/>
        </w:rPr>
        <w:t xml:space="preserve">tudent </w:t>
      </w:r>
      <w:r w:rsidR="00EA26E3" w:rsidRPr="002119E7">
        <w:rPr>
          <w:rStyle w:val="IntenseReference"/>
          <w:b/>
          <w:smallCaps/>
          <w:color w:val="003DA5"/>
        </w:rPr>
        <w:t>T</w:t>
      </w:r>
      <w:r w:rsidR="00261F3E" w:rsidRPr="002119E7">
        <w:rPr>
          <w:rStyle w:val="IntenseReference"/>
          <w:b/>
          <w:smallCaps/>
          <w:color w:val="003DA5"/>
        </w:rPr>
        <w:t>ransitions</w:t>
      </w:r>
    </w:p>
    <w:p w14:paraId="71DDB31F" w14:textId="4DFE5181" w:rsidR="002B7F4C" w:rsidRDefault="006D173F" w:rsidP="006D173F">
      <w:r>
        <w:t>Transitioning is a key factor inhibiting successful completion of school for many students (</w:t>
      </w:r>
      <w:proofErr w:type="spellStart"/>
      <w:r>
        <w:t>Alspaugh</w:t>
      </w:r>
      <w:proofErr w:type="spellEnd"/>
      <w:r>
        <w:t>, 1998). The challenges of transitioning (e.g.</w:t>
      </w:r>
      <w:r w:rsidR="00576B1F">
        <w:t>,</w:t>
      </w:r>
      <w:r>
        <w:t xml:space="preserve"> from elementary school to middle school and/or middle school to high school) can result in an increased dropout rate. </w:t>
      </w:r>
      <w:proofErr w:type="spellStart"/>
      <w:r>
        <w:t>Alspaugh</w:t>
      </w:r>
      <w:proofErr w:type="spellEnd"/>
      <w:r>
        <w:t xml:space="preserve"> (2000) found </w:t>
      </w:r>
      <w:r w:rsidR="007D0535">
        <w:t>increased numbers of transitions i</w:t>
      </w:r>
      <w:r w:rsidR="00915B17">
        <w:t>ncreased the dropout rate. T</w:t>
      </w:r>
      <w:r w:rsidR="007D0535">
        <w:t xml:space="preserve">he </w:t>
      </w:r>
      <w:r w:rsidR="00915B17">
        <w:t xml:space="preserve">school </w:t>
      </w:r>
      <w:r w:rsidR="007D0535">
        <w:t xml:space="preserve">system </w:t>
      </w:r>
      <w:r w:rsidR="004C08CA">
        <w:t xml:space="preserve">can usually control the frequency, number, and time of transitions. Transitioning is most destructive for older students. </w:t>
      </w:r>
      <w:proofErr w:type="spellStart"/>
      <w:r w:rsidR="004C08CA">
        <w:t>A</w:t>
      </w:r>
      <w:r w:rsidR="00576B1F">
        <w:t>lspaugh</w:t>
      </w:r>
      <w:proofErr w:type="spellEnd"/>
      <w:r w:rsidR="00576B1F">
        <w:t xml:space="preserve"> (2000) determined tenth-</w:t>
      </w:r>
      <w:r w:rsidR="004C08CA">
        <w:t xml:space="preserve">grade transitions to high school </w:t>
      </w:r>
      <w:r w:rsidR="00576B1F">
        <w:t>caused more dropouts than ninth-</w:t>
      </w:r>
      <w:r w:rsidR="004C08CA">
        <w:t>grade transitions.</w:t>
      </w:r>
      <w:r w:rsidR="002B7F4C">
        <w:t xml:space="preserve"> Transitioning is generally not a major concern for rural principals. Grade-to-grade and school-to-school transitions are usually less pronounced and personally disruptive for students in rural settings. Rural students often attend all grades on a single campus reducing the negative impact of transition across grade levels and campuses.  </w:t>
      </w:r>
    </w:p>
    <w:p w14:paraId="3013E4ED" w14:textId="5489BFD5" w:rsidR="00CB7698" w:rsidRPr="00413319" w:rsidRDefault="00CB7698" w:rsidP="00624C38">
      <w:pPr>
        <w:pStyle w:val="BalesHeading2"/>
        <w:rPr>
          <w:rStyle w:val="IntenseReference"/>
          <w:color w:val="003DA5"/>
        </w:rPr>
      </w:pPr>
      <w:r w:rsidRPr="00413319">
        <w:rPr>
          <w:rStyle w:val="IntenseReference"/>
          <w:color w:val="003DA5"/>
        </w:rPr>
        <w:t xml:space="preserve">Rural </w:t>
      </w:r>
      <w:r w:rsidR="00001863" w:rsidRPr="00413319">
        <w:rPr>
          <w:rStyle w:val="IntenseReference"/>
          <w:color w:val="003DA5"/>
        </w:rPr>
        <w:t>Impact</w:t>
      </w:r>
    </w:p>
    <w:p w14:paraId="06422979" w14:textId="595E6BFA" w:rsidR="00CB7698" w:rsidRDefault="00055A38" w:rsidP="006D173F">
      <w:r>
        <w:t xml:space="preserve">Student transition generally has a low impact on rural at-risk youth. An urban system often has multiple schools feeding into a single higher grade level school; however, rural schools often have all grade levels on one campus </w:t>
      </w:r>
      <w:r w:rsidR="003A785E">
        <w:t>or each cohort of students move</w:t>
      </w:r>
      <w:r>
        <w:t xml:space="preserve"> together through the transitions </w:t>
      </w:r>
      <w:r w:rsidR="003A785E">
        <w:t xml:space="preserve">without the inclusion of other groups of students from other schools </w:t>
      </w:r>
      <w:r>
        <w:t xml:space="preserve">providing for greater structure and </w:t>
      </w:r>
      <w:r w:rsidR="003A785E">
        <w:t xml:space="preserve">increased individual student </w:t>
      </w:r>
      <w:r>
        <w:t xml:space="preserve">emotional support.  </w:t>
      </w:r>
    </w:p>
    <w:p w14:paraId="224A6229" w14:textId="6BF64014" w:rsidR="004C08CA" w:rsidRPr="002119E7" w:rsidRDefault="00293F66" w:rsidP="00624C38">
      <w:pPr>
        <w:pStyle w:val="BalesHeading1"/>
        <w:rPr>
          <w:rStyle w:val="IntenseReference"/>
          <w:b/>
          <w:smallCaps/>
          <w:color w:val="003DA5"/>
        </w:rPr>
      </w:pPr>
      <w:r w:rsidRPr="002119E7">
        <w:rPr>
          <w:rStyle w:val="IntenseReference"/>
          <w:b/>
          <w:smallCaps/>
          <w:color w:val="003DA5"/>
        </w:rPr>
        <w:t xml:space="preserve">Principle 6: </w:t>
      </w:r>
      <w:r w:rsidR="00A85D7B" w:rsidRPr="002119E7">
        <w:rPr>
          <w:rStyle w:val="IntenseReference"/>
          <w:b/>
          <w:smallCaps/>
          <w:color w:val="003DA5"/>
        </w:rPr>
        <w:t xml:space="preserve">Create Options and </w:t>
      </w:r>
      <w:r w:rsidR="004C08CA" w:rsidRPr="002119E7">
        <w:rPr>
          <w:rStyle w:val="IntenseReference"/>
          <w:b/>
          <w:smallCaps/>
          <w:color w:val="003DA5"/>
        </w:rPr>
        <w:t>Implement Creative Interventions</w:t>
      </w:r>
    </w:p>
    <w:p w14:paraId="19BF002E" w14:textId="0140FCD4" w:rsidR="00915B17" w:rsidRDefault="009E188A" w:rsidP="000217F2">
      <w:r>
        <w:t xml:space="preserve">ACT for Youth Upstate Center of Excellence (2002) reported that </w:t>
      </w:r>
      <w:r w:rsidR="00AE45CD">
        <w:t>research indicates</w:t>
      </w:r>
      <w:r>
        <w:t xml:space="preserve"> brain</w:t>
      </w:r>
      <w:r w:rsidR="00AE45CD">
        <w:t xml:space="preserve"> maturation does not stop until the teen </w:t>
      </w:r>
      <w:r w:rsidR="00576B1F">
        <w:t>years and sometimes into the 20</w:t>
      </w:r>
      <w:r w:rsidR="00AE45CD">
        <w:t>s. Students who challenge their brain through ordering their thoughts, working to understanding abstract concepts, and controlling their impulses are building neural foundations for life</w:t>
      </w:r>
      <w:r>
        <w:t>. Main</w:t>
      </w:r>
      <w:r w:rsidR="00AE45CD">
        <w:t xml:space="preserve">taining students in an </w:t>
      </w:r>
      <w:r w:rsidR="00E22138">
        <w:t xml:space="preserve">educational </w:t>
      </w:r>
      <w:r w:rsidR="00AE45CD">
        <w:t xml:space="preserve">environment that </w:t>
      </w:r>
      <w:r>
        <w:t xml:space="preserve">challenges their brain </w:t>
      </w:r>
      <w:r w:rsidR="00E22138">
        <w:t xml:space="preserve">has the effect of </w:t>
      </w:r>
      <w:r>
        <w:t>increas</w:t>
      </w:r>
      <w:r w:rsidR="00E22138">
        <w:t>ing</w:t>
      </w:r>
      <w:r>
        <w:t xml:space="preserve"> the mental capacit</w:t>
      </w:r>
      <w:r w:rsidR="00E22138">
        <w:t>y of students that will extend</w:t>
      </w:r>
      <w:r>
        <w:t xml:space="preserve"> throughout their life. Students at</w:t>
      </w:r>
      <w:r w:rsidR="00576B1F">
        <w:t xml:space="preserve"> </w:t>
      </w:r>
      <w:r>
        <w:t xml:space="preserve">risk of dropping out of school may not only suffer long-term socioeconomic side effects but also physical side effects so it is important to maintain opportunities for students that provide for continued growth and development. </w:t>
      </w:r>
      <w:r w:rsidR="00915B17">
        <w:t xml:space="preserve">At-risk students </w:t>
      </w:r>
      <w:r w:rsidR="0025105E">
        <w:t xml:space="preserve">may </w:t>
      </w:r>
      <w:r w:rsidR="00915B17">
        <w:t xml:space="preserve">experience </w:t>
      </w:r>
      <w:r w:rsidR="0025105E">
        <w:t>a single challenge to school completio</w:t>
      </w:r>
      <w:r>
        <w:t xml:space="preserve">n or a multitude of challenges. </w:t>
      </w:r>
      <w:r w:rsidR="00915B17">
        <w:t xml:space="preserve">Identification of </w:t>
      </w:r>
      <w:r w:rsidR="003A785E">
        <w:t>threats</w:t>
      </w:r>
      <w:r w:rsidR="00915B17">
        <w:t xml:space="preserve"> to school completion in each community is the responsibility of school leadership. Once </w:t>
      </w:r>
      <w:r>
        <w:t>the challenges to completion</w:t>
      </w:r>
      <w:r w:rsidR="00915B17">
        <w:t xml:space="preserve"> have been identified, options should be created that will assist students to overcome or work with these </w:t>
      </w:r>
      <w:r w:rsidR="003A785E">
        <w:t>threats</w:t>
      </w:r>
      <w:r w:rsidR="00915B17">
        <w:t xml:space="preserve"> in constructive ways. Common challenges to school completion include:</w:t>
      </w:r>
    </w:p>
    <w:p w14:paraId="59D7953F" w14:textId="77777777" w:rsidR="00E22138" w:rsidRDefault="00E22138" w:rsidP="000217F2"/>
    <w:p w14:paraId="30419E35" w14:textId="77777777" w:rsidR="000217F2" w:rsidRDefault="00F60445" w:rsidP="00BF7DF7">
      <w:pPr>
        <w:pStyle w:val="ListParagraph"/>
        <w:numPr>
          <w:ilvl w:val="0"/>
          <w:numId w:val="11"/>
        </w:numPr>
      </w:pPr>
      <w:r>
        <w:t>School Schedule</w:t>
      </w:r>
      <w:r w:rsidR="0025105E">
        <w:t xml:space="preserve"> Incompatibilit</w:t>
      </w:r>
      <w:r w:rsidR="00FC6EFC">
        <w:t>y</w:t>
      </w:r>
    </w:p>
    <w:p w14:paraId="6F34C293" w14:textId="77777777" w:rsidR="00E22138" w:rsidRDefault="00FC6EFC" w:rsidP="00E22138">
      <w:pPr>
        <w:pStyle w:val="ListParagraph"/>
        <w:numPr>
          <w:ilvl w:val="1"/>
          <w:numId w:val="11"/>
        </w:numPr>
      </w:pPr>
      <w:r>
        <w:t xml:space="preserve">Solutions may include any of the following </w:t>
      </w:r>
      <w:r w:rsidR="00E22138">
        <w:t>in isolation or in combination.</w:t>
      </w:r>
    </w:p>
    <w:p w14:paraId="44C7AB0D" w14:textId="745DD052" w:rsidR="00E22138" w:rsidRDefault="00FC6EFC" w:rsidP="00E22138">
      <w:pPr>
        <w:pStyle w:val="ListParagraph"/>
        <w:numPr>
          <w:ilvl w:val="2"/>
          <w:numId w:val="11"/>
        </w:numPr>
      </w:pPr>
      <w:r>
        <w:t>A</w:t>
      </w:r>
      <w:r w:rsidR="00A73C95">
        <w:t xml:space="preserve">lternative </w:t>
      </w:r>
      <w:r w:rsidR="0007180A">
        <w:t xml:space="preserve">meeting </w:t>
      </w:r>
      <w:r w:rsidR="00A73C95">
        <w:t>times and locations</w:t>
      </w:r>
      <w:r w:rsidR="00E22138">
        <w:t>.</w:t>
      </w:r>
    </w:p>
    <w:p w14:paraId="6A7C0C13" w14:textId="1B6709E4" w:rsidR="00A73C95" w:rsidRDefault="00576B1F" w:rsidP="00E22138">
      <w:pPr>
        <w:pStyle w:val="ListParagraph"/>
        <w:numPr>
          <w:ilvl w:val="2"/>
          <w:numId w:val="11"/>
        </w:numPr>
      </w:pPr>
      <w:r>
        <w:t>Technology-</w:t>
      </w:r>
      <w:r w:rsidR="00462846">
        <w:t>based</w:t>
      </w:r>
      <w:r w:rsidR="00FC6EFC">
        <w:t xml:space="preserve"> curricular options </w:t>
      </w:r>
      <w:r w:rsidR="0007180A">
        <w:t xml:space="preserve">designed to </w:t>
      </w:r>
      <w:r w:rsidR="00462846">
        <w:t xml:space="preserve">alleviate scheduling </w:t>
      </w:r>
      <w:r w:rsidR="00FC6EFC">
        <w:t>issues</w:t>
      </w:r>
      <w:r w:rsidR="00462846">
        <w:t xml:space="preserve"> for some students.</w:t>
      </w:r>
    </w:p>
    <w:p w14:paraId="58BEC8B9" w14:textId="77777777" w:rsidR="0007180A" w:rsidRDefault="0007180A" w:rsidP="0007180A">
      <w:pPr>
        <w:pStyle w:val="ListParagraph"/>
        <w:ind w:left="2160"/>
      </w:pPr>
    </w:p>
    <w:p w14:paraId="7FB0E636" w14:textId="77777777" w:rsidR="000217F2" w:rsidRDefault="00A73C95" w:rsidP="00BF7DF7">
      <w:pPr>
        <w:pStyle w:val="ListParagraph"/>
        <w:numPr>
          <w:ilvl w:val="0"/>
          <w:numId w:val="11"/>
        </w:numPr>
      </w:pPr>
      <w:r>
        <w:t>Graduation Requirement</w:t>
      </w:r>
      <w:r w:rsidR="0025105E">
        <w:t xml:space="preserve"> Completion</w:t>
      </w:r>
    </w:p>
    <w:p w14:paraId="331CC4A2" w14:textId="3CEEB563" w:rsidR="00A73C95" w:rsidRDefault="00462846" w:rsidP="00BF7DF7">
      <w:pPr>
        <w:pStyle w:val="ListParagraph"/>
        <w:numPr>
          <w:ilvl w:val="1"/>
          <w:numId w:val="11"/>
        </w:numPr>
      </w:pPr>
      <w:r>
        <w:t>Credit recovery programs may help students who are challenged to meet graduation requirements.</w:t>
      </w:r>
      <w:r w:rsidR="00222C92">
        <w:t xml:space="preserve"> Technology may be used to address the </w:t>
      </w:r>
      <w:r w:rsidR="00576B1F">
        <w:t>work</w:t>
      </w:r>
      <w:r w:rsidR="0007180A">
        <w:t>force</w:t>
      </w:r>
      <w:r w:rsidR="00222C92">
        <w:t xml:space="preserve"> challenges of credit recovery programs.</w:t>
      </w:r>
    </w:p>
    <w:p w14:paraId="5504EA11" w14:textId="77777777" w:rsidR="0007180A" w:rsidRDefault="0007180A" w:rsidP="0007180A">
      <w:pPr>
        <w:pStyle w:val="ListParagraph"/>
        <w:ind w:left="1440"/>
      </w:pPr>
    </w:p>
    <w:p w14:paraId="42E7308B" w14:textId="77777777" w:rsidR="000217F2" w:rsidRDefault="00F60445" w:rsidP="00BF7DF7">
      <w:pPr>
        <w:pStyle w:val="ListParagraph"/>
        <w:numPr>
          <w:ilvl w:val="0"/>
          <w:numId w:val="11"/>
        </w:numPr>
      </w:pPr>
      <w:r>
        <w:t>Work Schedule</w:t>
      </w:r>
      <w:r w:rsidR="0025105E">
        <w:t xml:space="preserve"> Incompatibility</w:t>
      </w:r>
    </w:p>
    <w:p w14:paraId="16FC966C" w14:textId="1F7F44F3" w:rsidR="00FC6EFC" w:rsidRDefault="0007180A" w:rsidP="00BF7DF7">
      <w:pPr>
        <w:pStyle w:val="ListParagraph"/>
        <w:numPr>
          <w:ilvl w:val="1"/>
          <w:numId w:val="11"/>
        </w:numPr>
      </w:pPr>
      <w:r>
        <w:t>W</w:t>
      </w:r>
      <w:r w:rsidR="00FC6EFC">
        <w:t xml:space="preserve">ork </w:t>
      </w:r>
      <w:r>
        <w:t>programs will</w:t>
      </w:r>
      <w:r w:rsidR="00FC6EFC">
        <w:t xml:space="preserve"> </w:t>
      </w:r>
      <w:r>
        <w:t>assist in meeting educational goals of students with family financial responsibilities.</w:t>
      </w:r>
    </w:p>
    <w:p w14:paraId="703B177F" w14:textId="77777777" w:rsidR="0007180A" w:rsidRDefault="0007180A" w:rsidP="0007180A">
      <w:pPr>
        <w:pStyle w:val="ListParagraph"/>
        <w:ind w:left="1440"/>
      </w:pPr>
    </w:p>
    <w:p w14:paraId="68452473" w14:textId="77777777" w:rsidR="000217F2" w:rsidRDefault="00F60445" w:rsidP="00BF7DF7">
      <w:pPr>
        <w:pStyle w:val="ListParagraph"/>
        <w:numPr>
          <w:ilvl w:val="0"/>
          <w:numId w:val="11"/>
        </w:numPr>
      </w:pPr>
      <w:r>
        <w:t>Childcare Needs</w:t>
      </w:r>
    </w:p>
    <w:p w14:paraId="4C6306C0" w14:textId="65E4D016" w:rsidR="00462846" w:rsidRDefault="00FC6EFC" w:rsidP="00BF7DF7">
      <w:pPr>
        <w:pStyle w:val="ListParagraph"/>
        <w:numPr>
          <w:ilvl w:val="1"/>
          <w:numId w:val="11"/>
        </w:numPr>
      </w:pPr>
      <w:r>
        <w:t>Provided c</w:t>
      </w:r>
      <w:r w:rsidR="00462846">
        <w:t>hil</w:t>
      </w:r>
      <w:r w:rsidR="0007180A">
        <w:t xml:space="preserve">dcare options may </w:t>
      </w:r>
      <w:r w:rsidR="00462846">
        <w:t>help students who are also parents.</w:t>
      </w:r>
    </w:p>
    <w:p w14:paraId="4A690560" w14:textId="77777777" w:rsidR="0007180A" w:rsidRDefault="0007180A" w:rsidP="0007180A">
      <w:pPr>
        <w:pStyle w:val="ListParagraph"/>
        <w:ind w:left="1440"/>
      </w:pPr>
    </w:p>
    <w:p w14:paraId="39F855C1" w14:textId="77777777" w:rsidR="000217F2" w:rsidRDefault="00F60445" w:rsidP="00BF7DF7">
      <w:pPr>
        <w:pStyle w:val="ListParagraph"/>
        <w:numPr>
          <w:ilvl w:val="0"/>
          <w:numId w:val="12"/>
        </w:numPr>
      </w:pPr>
      <w:r>
        <w:t>Curriculum Irrelevance</w:t>
      </w:r>
    </w:p>
    <w:p w14:paraId="2C068C77" w14:textId="6FBC8F31" w:rsidR="00001863" w:rsidRDefault="00FC6EFC" w:rsidP="00904E50">
      <w:pPr>
        <w:pStyle w:val="ListParagraph"/>
        <w:numPr>
          <w:ilvl w:val="1"/>
          <w:numId w:val="12"/>
        </w:numPr>
      </w:pPr>
      <w:r>
        <w:t xml:space="preserve">Students with a strong focus on career preparedness may have difficulty participating in traditional curricular pathways designed for college after high school. </w:t>
      </w:r>
      <w:r w:rsidR="00462846" w:rsidRPr="007F3189">
        <w:t xml:space="preserve">At-risk students may be more “artistic” or “hands-on” learners. </w:t>
      </w:r>
      <w:r w:rsidR="00744603">
        <w:t>To address their needs p</w:t>
      </w:r>
      <w:r w:rsidR="0007180A">
        <w:t>rofessional development</w:t>
      </w:r>
      <w:r>
        <w:t xml:space="preserve"> in the areas of learning styles and multiple intelligences may help faculty create </w:t>
      </w:r>
      <w:r w:rsidR="0007180A">
        <w:t>curricula that are more relevant</w:t>
      </w:r>
      <w:r>
        <w:t>.</w:t>
      </w:r>
      <w:r w:rsidR="00222C92">
        <w:t xml:space="preserve"> </w:t>
      </w:r>
      <w:r w:rsidR="00CB2270">
        <w:t xml:space="preserve">Differentiated instructional strategies </w:t>
      </w:r>
      <w:r w:rsidR="00222C92">
        <w:t xml:space="preserve">will provide students with options regarding content, process, and/or product modifications that can address multiple learning styles or </w:t>
      </w:r>
      <w:r w:rsidR="00E51989">
        <w:t xml:space="preserve">individual learning </w:t>
      </w:r>
      <w:r w:rsidR="00222C92">
        <w:t>modalities</w:t>
      </w:r>
      <w:r w:rsidR="00CB2270">
        <w:t xml:space="preserve">. Experienced teachers </w:t>
      </w:r>
      <w:r w:rsidR="00222C92">
        <w:t>should</w:t>
      </w:r>
      <w:r w:rsidR="00CB2270">
        <w:t xml:space="preserve"> continue to part</w:t>
      </w:r>
      <w:r w:rsidR="0007180A">
        <w:t>icipate in professional development</w:t>
      </w:r>
      <w:r w:rsidR="00CB2270">
        <w:t xml:space="preserve"> that addresses research-based and evidence-based best practices in order to provide students with the most current educational opportunities. </w:t>
      </w:r>
    </w:p>
    <w:p w14:paraId="7D1BF07D" w14:textId="77777777" w:rsidR="00E51989" w:rsidRPr="00413319" w:rsidRDefault="00E51989" w:rsidP="00624C38">
      <w:pPr>
        <w:pStyle w:val="BalesHeading2"/>
        <w:rPr>
          <w:rStyle w:val="IntenseReference"/>
          <w:color w:val="003DA5"/>
        </w:rPr>
      </w:pPr>
      <w:r w:rsidRPr="00413319">
        <w:rPr>
          <w:rStyle w:val="IntenseReference"/>
          <w:color w:val="003DA5"/>
        </w:rPr>
        <w:t>Rural Impact</w:t>
      </w:r>
    </w:p>
    <w:p w14:paraId="50C00F8C" w14:textId="14091A87" w:rsidR="00001863" w:rsidRPr="00E51989" w:rsidRDefault="00001863" w:rsidP="00001863">
      <w:pPr>
        <w:rPr>
          <w:i/>
        </w:rPr>
      </w:pPr>
      <w:r w:rsidRPr="00E51989">
        <w:t>Creative interventions in rural schools are critical because small student numbers tend to reduce the variety of course</w:t>
      </w:r>
      <w:r w:rsidR="00E51989">
        <w:t>s</w:t>
      </w:r>
      <w:r w:rsidRPr="00E51989">
        <w:t>, program</w:t>
      </w:r>
      <w:r w:rsidR="00E51989">
        <w:t>s</w:t>
      </w:r>
      <w:r w:rsidRPr="00E51989">
        <w:t>, and offerings that are traditionally available.</w:t>
      </w:r>
      <w:r w:rsidR="00E51989">
        <w:t xml:space="preserve"> </w:t>
      </w:r>
      <w:r w:rsidRPr="00E51989">
        <w:t>It is important that the rural principal establish a climate that expects graduation, looks for graduation barriers from the individual student perspective, and reinforces staff actions that remove barriers faced by students.</w:t>
      </w:r>
      <w:r w:rsidRPr="007F3189">
        <w:t xml:space="preserve"> </w:t>
      </w:r>
    </w:p>
    <w:p w14:paraId="5B7BC35C" w14:textId="61052C5C" w:rsidR="000217F2" w:rsidRPr="00413319" w:rsidRDefault="00293F66" w:rsidP="00624C38">
      <w:pPr>
        <w:pStyle w:val="BalesHeading1"/>
        <w:rPr>
          <w:rStyle w:val="IntenseReference"/>
          <w:b/>
          <w:color w:val="003DA5"/>
        </w:rPr>
      </w:pPr>
      <w:r w:rsidRPr="00413319">
        <w:rPr>
          <w:rStyle w:val="IntenseReference"/>
          <w:b/>
          <w:color w:val="003DA5"/>
        </w:rPr>
        <w:t xml:space="preserve">Principle 7: </w:t>
      </w:r>
      <w:r w:rsidR="00A85D7B" w:rsidRPr="00413319">
        <w:rPr>
          <w:rStyle w:val="IntenseReference"/>
          <w:b/>
          <w:color w:val="003DA5"/>
        </w:rPr>
        <w:t>Build Parent/Family Relationships</w:t>
      </w:r>
    </w:p>
    <w:p w14:paraId="4E2568EB" w14:textId="2E24A1CD" w:rsidR="00CB2270" w:rsidRDefault="000217F2" w:rsidP="000217F2">
      <w:r>
        <w:t>Communication is key to building strong parent/family relationships. Edwards and</w:t>
      </w:r>
      <w:r w:rsidR="00576B1F">
        <w:t xml:space="preserve"> Edwards (2007) emphasized </w:t>
      </w:r>
      <w:proofErr w:type="spellStart"/>
      <w:r w:rsidR="00576B1F">
        <w:t>over</w:t>
      </w:r>
      <w:r>
        <w:t>communication</w:t>
      </w:r>
      <w:proofErr w:type="spellEnd"/>
      <w:r>
        <w:t xml:space="preserve"> should be the strategy for this type of relationship development. It is the responsibility of the school to be proactive and to work from the perspective of the parents/family in promoting the relationship</w:t>
      </w:r>
      <w:r w:rsidRPr="00CD2EA4">
        <w:t xml:space="preserve">. </w:t>
      </w:r>
      <w:r w:rsidR="00F46AD6" w:rsidRPr="00CD2EA4">
        <w:t xml:space="preserve">The lack </w:t>
      </w:r>
      <w:r w:rsidR="00CB2270" w:rsidRPr="00CD2EA4">
        <w:t>of family engagement with school personnel is</w:t>
      </w:r>
      <w:r w:rsidR="00F46AD6" w:rsidRPr="00CD2EA4">
        <w:t xml:space="preserve"> not</w:t>
      </w:r>
      <w:r w:rsidR="00CB2270" w:rsidRPr="00CD2EA4">
        <w:t xml:space="preserve"> evidence of disinterest in the child’s success at school</w:t>
      </w:r>
      <w:r w:rsidR="0007180A">
        <w:t>; it may be an indicator of extensive work responsibilities, health challenges, etc</w:t>
      </w:r>
      <w:r w:rsidR="00CB2270" w:rsidRPr="00CD2EA4">
        <w:t>.</w:t>
      </w:r>
      <w:r w:rsidR="00CB2270" w:rsidRPr="00CD2EA4">
        <w:rPr>
          <w:noProof/>
        </w:rPr>
        <w:t xml:space="preserve"> </w:t>
      </w:r>
      <w:r w:rsidR="00CB2270" w:rsidRPr="00CD2EA4">
        <w:t xml:space="preserve"> </w:t>
      </w:r>
      <w:r w:rsidR="00F46AD6" w:rsidRPr="00CD2EA4">
        <w:t>Students should not be ignored if the family appears indifferent. A family expectation placing low value on education should be addressed, and a strong focus on the need for and likelihood of graduation emphasized.</w:t>
      </w:r>
    </w:p>
    <w:p w14:paraId="7DFD3FA2" w14:textId="3D9A8785" w:rsidR="00CB2270" w:rsidRPr="00413319" w:rsidRDefault="00F46AD6" w:rsidP="00624C38">
      <w:pPr>
        <w:pStyle w:val="BalesHeading2"/>
        <w:rPr>
          <w:rStyle w:val="IntenseReference"/>
          <w:color w:val="003DA5"/>
        </w:rPr>
      </w:pPr>
      <w:r w:rsidRPr="00413319">
        <w:rPr>
          <w:rStyle w:val="IntenseReference"/>
          <w:color w:val="003DA5"/>
        </w:rPr>
        <w:t>Rural Impact</w:t>
      </w:r>
    </w:p>
    <w:p w14:paraId="777F33DE" w14:textId="1CA8C104" w:rsidR="00CB2270" w:rsidRDefault="00E8533E" w:rsidP="000217F2">
      <w:r>
        <w:t>R</w:t>
      </w:r>
      <w:r w:rsidR="00F46AD6" w:rsidRPr="00CD2EA4">
        <w:t>ural communities occasional</w:t>
      </w:r>
      <w:r>
        <w:t>ly</w:t>
      </w:r>
      <w:r w:rsidR="00F46AD6" w:rsidRPr="00CD2EA4">
        <w:t xml:space="preserve"> focus on school as an unimportant component of a child’s life. Sometimes </w:t>
      </w:r>
      <w:r w:rsidR="00CB2270" w:rsidRPr="00CD2EA4">
        <w:t xml:space="preserve">parents who did not graduate </w:t>
      </w:r>
      <w:r w:rsidR="00F46AD6" w:rsidRPr="00CD2EA4">
        <w:t xml:space="preserve">from school do not feel they have the ability to assist their children </w:t>
      </w:r>
      <w:r w:rsidR="00CD2EA4" w:rsidRPr="00CD2EA4">
        <w:t>make decisions about school participation and completion</w:t>
      </w:r>
      <w:r>
        <w:t xml:space="preserve"> nor do they feel they have an argument promoting school completion</w:t>
      </w:r>
      <w:r w:rsidR="00CD2EA4" w:rsidRPr="00CD2EA4">
        <w:t xml:space="preserve">. </w:t>
      </w:r>
      <w:r w:rsidR="00CB2270" w:rsidRPr="00CD2EA4">
        <w:t>Principals can help family members understand that graduation is in the best interest of the child and that parental expectation of educational attainment is not dependent on parent education levels. To the extent that the rural principal is able to orchestrate a consistent stay-in-school message from school personnel, family members, and the community, the likelihood of graduation is enhanced.</w:t>
      </w:r>
    </w:p>
    <w:p w14:paraId="5667CAF5" w14:textId="66E1EF78" w:rsidR="00CD2EA4" w:rsidRPr="00624C38" w:rsidRDefault="00CD2EA4" w:rsidP="00624C38">
      <w:pPr>
        <w:pStyle w:val="BalesHeading1"/>
        <w:rPr>
          <w:rStyle w:val="IntenseReference"/>
          <w:b/>
          <w:smallCaps/>
          <w:color w:val="003DA5"/>
        </w:rPr>
      </w:pPr>
      <w:r w:rsidRPr="00624C38">
        <w:rPr>
          <w:rStyle w:val="IntenseReference"/>
          <w:b/>
          <w:smallCaps/>
          <w:color w:val="003DA5"/>
        </w:rPr>
        <w:t>Conclusion</w:t>
      </w:r>
    </w:p>
    <w:p w14:paraId="2471955C" w14:textId="2C353719" w:rsidR="007D0535" w:rsidRDefault="00E8533E" w:rsidP="007D0535">
      <w:pPr>
        <w:pStyle w:val="BodyText"/>
      </w:pPr>
      <w:r>
        <w:t>Improvement of graduation rates cannot occur</w:t>
      </w:r>
      <w:r w:rsidR="00CD2EA4" w:rsidRPr="00CD2EA4">
        <w:t xml:space="preserve"> in isolation, but school leadership using data and community information can implement strategies and address conditions that may lead to increased graduation. While rural challenges are different from urban challenges, they are not insurmountable. </w:t>
      </w:r>
      <w:r w:rsidR="00001863" w:rsidRPr="00CD2EA4">
        <w:t>The numerous risk factors identified by the National Dropout Prevention Center</w:t>
      </w:r>
      <w:r>
        <w:t>/Network</w:t>
      </w:r>
      <w:r w:rsidR="00576B1F">
        <w:t xml:space="preserve"> as correlated with </w:t>
      </w:r>
      <w:proofErr w:type="spellStart"/>
      <w:r w:rsidR="00576B1F">
        <w:t>non</w:t>
      </w:r>
      <w:r w:rsidR="00001863" w:rsidRPr="00CD2EA4">
        <w:t>school</w:t>
      </w:r>
      <w:proofErr w:type="spellEnd"/>
      <w:r w:rsidR="00001863" w:rsidRPr="00CD2EA4">
        <w:t xml:space="preserve"> completion fall into four domains</w:t>
      </w:r>
      <w:r w:rsidR="00576B1F">
        <w:t>—</w:t>
      </w:r>
      <w:r w:rsidR="00CD2EA4" w:rsidRPr="00CD2EA4">
        <w:t xml:space="preserve">school, </w:t>
      </w:r>
      <w:r w:rsidR="00001863" w:rsidRPr="005A39D4">
        <w:t xml:space="preserve">individual, family, and community. In a recent meta-analysis study that assigned effect size to several of the </w:t>
      </w:r>
      <w:r w:rsidR="00001863" w:rsidRPr="005A39D4">
        <w:rPr>
          <w:i/>
        </w:rPr>
        <w:t>15 Effective Strategies</w:t>
      </w:r>
      <w:r w:rsidR="00BC6C9C" w:rsidRPr="005A39D4">
        <w:rPr>
          <w:i/>
        </w:rPr>
        <w:t xml:space="preserve"> for Dropout Prevention </w:t>
      </w:r>
      <w:r w:rsidR="00BC6C9C" w:rsidRPr="005A39D4">
        <w:t xml:space="preserve">(National Dropout Prevention Center, </w:t>
      </w:r>
      <w:proofErr w:type="spellStart"/>
      <w:r w:rsidR="00BC6C9C" w:rsidRPr="005A39D4">
        <w:t>n.d.</w:t>
      </w:r>
      <w:proofErr w:type="spellEnd"/>
      <w:r w:rsidR="00BC6C9C" w:rsidRPr="005A39D4">
        <w:t>)</w:t>
      </w:r>
      <w:r w:rsidR="00001863" w:rsidRPr="005A39D4">
        <w:t>, Chap</w:t>
      </w:r>
      <w:r w:rsidR="00576B1F" w:rsidRPr="005A39D4">
        <w:t>p</w:t>
      </w:r>
      <w:r w:rsidR="00001863" w:rsidRPr="005A39D4">
        <w:t>e</w:t>
      </w:r>
      <w:r w:rsidR="00576B1F" w:rsidRPr="005A39D4">
        <w:t>l</w:t>
      </w:r>
      <w:r w:rsidR="00001863" w:rsidRPr="005A39D4">
        <w:t>l, O’Connor, Withingt</w:t>
      </w:r>
      <w:r w:rsidR="00C52762" w:rsidRPr="005A39D4">
        <w:t>on, and Stegelin (2015) determined</w:t>
      </w:r>
      <w:r w:rsidR="00001863" w:rsidRPr="005A39D4">
        <w:t xml:space="preserve"> that family engagement is likely </w:t>
      </w:r>
      <w:r w:rsidR="00001863" w:rsidRPr="00CD2EA4">
        <w:t>to be the most impactful dropout prevention strategy available to educators.</w:t>
      </w:r>
      <w:r w:rsidR="00C52762">
        <w:t xml:space="preserve"> </w:t>
      </w:r>
      <w:r w:rsidR="009E679D" w:rsidRPr="00BC6C9C">
        <w:t>These strategies</w:t>
      </w:r>
      <w:r w:rsidR="009E679D">
        <w:t xml:space="preserve"> may be applied independently but work best when utilized in a strategic and systemic manner. </w:t>
      </w:r>
      <w:r w:rsidR="009E679D" w:rsidRPr="00BC6C9C">
        <w:t>The</w:t>
      </w:r>
      <w:r w:rsidR="00BC6C9C" w:rsidRPr="00BC6C9C">
        <w:t>y</w:t>
      </w:r>
      <w:r w:rsidR="009E679D" w:rsidRPr="00BC6C9C">
        <w:t xml:space="preserve"> </w:t>
      </w:r>
      <w:r w:rsidR="009E679D" w:rsidRPr="00717504">
        <w:t>have been successfu</w:t>
      </w:r>
      <w:r w:rsidR="009E679D">
        <w:t>l at all school levels from pre-</w:t>
      </w:r>
      <w:r>
        <w:t>K–12 and in rural, suburban, and</w:t>
      </w:r>
      <w:r w:rsidR="009E679D" w:rsidRPr="00717504">
        <w:t xml:space="preserve"> urban centers (</w:t>
      </w:r>
      <w:proofErr w:type="spellStart"/>
      <w:r w:rsidR="009E679D" w:rsidRPr="00717504">
        <w:t>Smink</w:t>
      </w:r>
      <w:proofErr w:type="spellEnd"/>
      <w:r w:rsidR="009E679D">
        <w:t xml:space="preserve"> &amp; </w:t>
      </w:r>
      <w:proofErr w:type="spellStart"/>
      <w:r w:rsidR="009E679D">
        <w:t>Schargel</w:t>
      </w:r>
      <w:proofErr w:type="spellEnd"/>
      <w:r w:rsidR="009E679D">
        <w:t>,</w:t>
      </w:r>
      <w:r w:rsidR="009E679D" w:rsidRPr="00717504">
        <w:t xml:space="preserve"> 200</w:t>
      </w:r>
      <w:r w:rsidR="009E679D">
        <w:t>4</w:t>
      </w:r>
      <w:r w:rsidR="009E679D" w:rsidRPr="00717504">
        <w:t>).</w:t>
      </w:r>
      <w:r w:rsidR="009E679D">
        <w:t xml:space="preserve"> </w:t>
      </w:r>
      <w:r w:rsidR="00CD2EA4" w:rsidRPr="00CD2EA4">
        <w:t>A</w:t>
      </w:r>
      <w:r w:rsidR="007D0535" w:rsidRPr="00CD2EA4">
        <w:t xml:space="preserve">ll initiatives and interventions intended to improve graduation rates can be expected to be more effective when adapted in consideration of the specific situation and context rather than when applied generically.  If the rural principal is to improve graduation outcomes, particular attention </w:t>
      </w:r>
      <w:r w:rsidR="00CD2EA4" w:rsidRPr="00CD2EA4">
        <w:t xml:space="preserve">must be given </w:t>
      </w:r>
      <w:r w:rsidR="007D0535" w:rsidRPr="00CD2EA4">
        <w:t>to th</w:t>
      </w:r>
      <w:r w:rsidR="00CD2EA4" w:rsidRPr="00CD2EA4">
        <w:t xml:space="preserve">e key principles </w:t>
      </w:r>
      <w:r w:rsidR="007D0535" w:rsidRPr="00CD2EA4">
        <w:t>identified by Edwards</w:t>
      </w:r>
      <w:r>
        <w:t xml:space="preserve"> and Edwards. These principles must be </w:t>
      </w:r>
      <w:r w:rsidR="00CD2EA4" w:rsidRPr="00CD2EA4">
        <w:t>applied based on local circumstances and needs</w:t>
      </w:r>
      <w:r w:rsidR="00C52762">
        <w:t xml:space="preserve"> with a main focus on family engagement</w:t>
      </w:r>
      <w:r w:rsidR="00CD2EA4" w:rsidRPr="00CD2EA4">
        <w:t>.</w:t>
      </w:r>
      <w:r w:rsidR="007D0535" w:rsidRPr="007F3189">
        <w:t xml:space="preserve">  </w:t>
      </w:r>
    </w:p>
    <w:p w14:paraId="5B95C7D7" w14:textId="77777777" w:rsidR="007D0535" w:rsidRPr="007D0535" w:rsidRDefault="007D0535" w:rsidP="007D0535"/>
    <w:p w14:paraId="6CBFFF31" w14:textId="5AAE982B" w:rsidR="00576B1F" w:rsidRDefault="00576B1F">
      <w:r>
        <w:br w:type="page"/>
      </w:r>
    </w:p>
    <w:p w14:paraId="7710A327" w14:textId="77777777" w:rsidR="000217F2" w:rsidRPr="007F3189" w:rsidRDefault="000217F2" w:rsidP="007D0535">
      <w:pPr>
        <w:pStyle w:val="BodyText"/>
      </w:pPr>
    </w:p>
    <w:p w14:paraId="7B12CEE3" w14:textId="4987D34B" w:rsidR="00B32575" w:rsidRPr="00624C38" w:rsidRDefault="00B32575" w:rsidP="00624C38">
      <w:pPr>
        <w:pStyle w:val="BalesHeading1"/>
        <w:jc w:val="center"/>
        <w:rPr>
          <w:sz w:val="32"/>
          <w:szCs w:val="32"/>
        </w:rPr>
      </w:pPr>
      <w:r w:rsidRPr="00624C38">
        <w:rPr>
          <w:sz w:val="32"/>
          <w:szCs w:val="32"/>
        </w:rPr>
        <w:t>References</w:t>
      </w:r>
    </w:p>
    <w:p w14:paraId="7AC1AE0C" w14:textId="77777777" w:rsidR="00F212A7" w:rsidRDefault="00F212A7" w:rsidP="005A39D4">
      <w:pPr>
        <w:rPr>
          <w:rFonts w:cs="Times New Roman"/>
          <w:szCs w:val="24"/>
        </w:rPr>
      </w:pPr>
    </w:p>
    <w:p w14:paraId="7196B300" w14:textId="144B2F3B" w:rsidR="006A7545" w:rsidRPr="005A39D4" w:rsidRDefault="006A7545" w:rsidP="005A39D4">
      <w:pPr>
        <w:ind w:left="720" w:hanging="720"/>
        <w:rPr>
          <w:rStyle w:val="Hyperlink"/>
          <w:color w:val="auto"/>
          <w:u w:val="none"/>
        </w:rPr>
      </w:pPr>
      <w:r w:rsidRPr="005A39D4">
        <w:rPr>
          <w:rFonts w:cs="Times New Roman"/>
          <w:szCs w:val="24"/>
        </w:rPr>
        <w:t>ACT for Youth</w:t>
      </w:r>
      <w:r w:rsidR="009E188A" w:rsidRPr="005A39D4">
        <w:rPr>
          <w:rFonts w:cs="Times New Roman"/>
          <w:szCs w:val="24"/>
        </w:rPr>
        <w:t xml:space="preserve"> </w:t>
      </w:r>
      <w:r w:rsidRPr="005A39D4">
        <w:rPr>
          <w:rFonts w:cs="Times New Roman"/>
          <w:szCs w:val="24"/>
        </w:rPr>
        <w:t>Upstate Center of Excellence</w:t>
      </w:r>
      <w:r w:rsidR="009E188A" w:rsidRPr="005A39D4">
        <w:rPr>
          <w:rFonts w:cs="Times New Roman"/>
          <w:szCs w:val="24"/>
        </w:rPr>
        <w:t>.</w:t>
      </w:r>
      <w:r w:rsidR="00AE45CD" w:rsidRPr="005A39D4">
        <w:rPr>
          <w:rFonts w:cs="Times New Roman"/>
          <w:szCs w:val="24"/>
        </w:rPr>
        <w:t xml:space="preserve"> Research Facts and F</w:t>
      </w:r>
      <w:r w:rsidRPr="005A39D4">
        <w:rPr>
          <w:rFonts w:cs="Times New Roman"/>
          <w:szCs w:val="24"/>
        </w:rPr>
        <w:t>indings</w:t>
      </w:r>
      <w:r w:rsidR="00AE45CD" w:rsidRPr="005A39D4">
        <w:rPr>
          <w:rFonts w:cs="Times New Roman"/>
          <w:szCs w:val="24"/>
        </w:rPr>
        <w:t xml:space="preserve"> (May 2002).</w:t>
      </w:r>
      <w:r w:rsidR="0053181C" w:rsidRPr="005A39D4">
        <w:rPr>
          <w:rFonts w:cs="Times New Roman"/>
          <w:szCs w:val="24"/>
        </w:rPr>
        <w:t xml:space="preserve"> </w:t>
      </w:r>
      <w:r w:rsidR="00AE45CD" w:rsidRPr="005A39D4">
        <w:rPr>
          <w:rFonts w:cs="Times New Roman"/>
          <w:szCs w:val="24"/>
        </w:rPr>
        <w:t>Adolescent brain development. Retrieved from</w:t>
      </w:r>
      <w:r w:rsidR="0053181C" w:rsidRPr="005A39D4">
        <w:rPr>
          <w:rFonts w:cs="Times New Roman"/>
          <w:szCs w:val="24"/>
        </w:rPr>
        <w:t xml:space="preserve"> </w:t>
      </w:r>
      <w:hyperlink r:id="rId10" w:history="1">
        <w:r w:rsidR="00F87FB1" w:rsidRPr="005A39D4">
          <w:rPr>
            <w:rStyle w:val="Hyperlink"/>
            <w:color w:val="auto"/>
            <w:u w:val="none"/>
          </w:rPr>
          <w:t>http://www.actforyouth.net/resources/rf/rf_brain_0502.cfm</w:t>
        </w:r>
      </w:hyperlink>
    </w:p>
    <w:p w14:paraId="1A936EAA" w14:textId="77777777" w:rsidR="0053181C" w:rsidRPr="005A39D4" w:rsidRDefault="0053181C" w:rsidP="005A39D4">
      <w:pPr>
        <w:ind w:left="720" w:hanging="720"/>
      </w:pPr>
    </w:p>
    <w:p w14:paraId="379B187A" w14:textId="23FFEEFF" w:rsidR="00C52762" w:rsidRPr="005A39D4" w:rsidRDefault="006D173F" w:rsidP="005A39D4">
      <w:pPr>
        <w:ind w:left="720" w:hanging="720"/>
        <w:rPr>
          <w:rStyle w:val="Hyperlink"/>
          <w:rFonts w:cs="Times New Roman"/>
          <w:color w:val="auto"/>
          <w:szCs w:val="24"/>
          <w:u w:val="none"/>
        </w:rPr>
      </w:pPr>
      <w:proofErr w:type="spellStart"/>
      <w:r w:rsidRPr="005A39D4">
        <w:rPr>
          <w:rFonts w:cs="Times New Roman"/>
          <w:szCs w:val="24"/>
        </w:rPr>
        <w:t>Alspaugh</w:t>
      </w:r>
      <w:proofErr w:type="spellEnd"/>
      <w:r w:rsidRPr="005A39D4">
        <w:rPr>
          <w:rFonts w:cs="Times New Roman"/>
          <w:szCs w:val="24"/>
        </w:rPr>
        <w:t>, J. W. (Fall 2000). The effect of transition grade to</w:t>
      </w:r>
      <w:r w:rsidR="00C52762" w:rsidRPr="005A39D4">
        <w:rPr>
          <w:rFonts w:cs="Times New Roman"/>
          <w:szCs w:val="24"/>
        </w:rPr>
        <w:t xml:space="preserve"> high school, gender, and grade</w:t>
      </w:r>
      <w:r w:rsidR="0053181C" w:rsidRPr="005A39D4">
        <w:rPr>
          <w:rFonts w:cs="Times New Roman"/>
          <w:szCs w:val="24"/>
        </w:rPr>
        <w:t xml:space="preserve"> </w:t>
      </w:r>
      <w:r w:rsidRPr="005A39D4">
        <w:rPr>
          <w:rFonts w:cs="Times New Roman"/>
          <w:szCs w:val="24"/>
        </w:rPr>
        <w:t>level upon</w:t>
      </w:r>
      <w:r w:rsidR="00C52762" w:rsidRPr="005A39D4">
        <w:rPr>
          <w:rFonts w:cs="Times New Roman"/>
          <w:szCs w:val="24"/>
        </w:rPr>
        <w:t xml:space="preserve"> </w:t>
      </w:r>
      <w:r w:rsidRPr="005A39D4">
        <w:rPr>
          <w:rFonts w:cs="Times New Roman"/>
          <w:szCs w:val="24"/>
        </w:rPr>
        <w:t xml:space="preserve">dropout rates. </w:t>
      </w:r>
      <w:r w:rsidRPr="005A39D4">
        <w:rPr>
          <w:rFonts w:cs="Times New Roman"/>
          <w:i/>
          <w:szCs w:val="24"/>
        </w:rPr>
        <w:t>American Secondary Education</w:t>
      </w:r>
      <w:r w:rsidRPr="005A39D4">
        <w:rPr>
          <w:rFonts w:cs="Times New Roman"/>
          <w:szCs w:val="24"/>
        </w:rPr>
        <w:t xml:space="preserve">, </w:t>
      </w:r>
      <w:r w:rsidRPr="005A39D4">
        <w:rPr>
          <w:rFonts w:cs="Times New Roman"/>
          <w:i/>
          <w:szCs w:val="24"/>
        </w:rPr>
        <w:t>29</w:t>
      </w:r>
      <w:r w:rsidRPr="005A39D4">
        <w:rPr>
          <w:rFonts w:cs="Times New Roman"/>
          <w:szCs w:val="24"/>
        </w:rPr>
        <w:t>(1), 2-9. Retrieved from</w:t>
      </w:r>
      <w:r w:rsidR="0053181C" w:rsidRPr="005A39D4">
        <w:rPr>
          <w:rFonts w:cs="Times New Roman"/>
          <w:szCs w:val="24"/>
        </w:rPr>
        <w:t xml:space="preserve"> </w:t>
      </w:r>
      <w:hyperlink r:id="rId11" w:history="1">
        <w:r w:rsidRPr="005A39D4">
          <w:rPr>
            <w:rStyle w:val="Hyperlink"/>
            <w:rFonts w:cs="Times New Roman"/>
            <w:color w:val="auto"/>
            <w:szCs w:val="24"/>
            <w:u w:val="none"/>
          </w:rPr>
          <w:t>http://www.jstor.org/stable/41064411</w:t>
        </w:r>
      </w:hyperlink>
    </w:p>
    <w:p w14:paraId="25093F69" w14:textId="77777777" w:rsidR="0053181C" w:rsidRPr="005A39D4" w:rsidRDefault="0053181C" w:rsidP="005A39D4">
      <w:pPr>
        <w:ind w:left="720" w:hanging="720"/>
        <w:rPr>
          <w:rFonts w:cs="Times New Roman"/>
          <w:szCs w:val="24"/>
        </w:rPr>
      </w:pPr>
    </w:p>
    <w:p w14:paraId="0CE49D81" w14:textId="2D4C20C4" w:rsidR="00F87FB1" w:rsidRPr="005A39D4" w:rsidRDefault="00576B1F" w:rsidP="005A39D4">
      <w:pPr>
        <w:ind w:left="720" w:hanging="720"/>
        <w:rPr>
          <w:rStyle w:val="Hyperlink"/>
          <w:rFonts w:cs="Times New Roman"/>
          <w:color w:val="auto"/>
          <w:szCs w:val="24"/>
          <w:u w:val="none"/>
        </w:rPr>
      </w:pPr>
      <w:proofErr w:type="spellStart"/>
      <w:r w:rsidRPr="005A39D4">
        <w:rPr>
          <w:rFonts w:cs="Times New Roman"/>
          <w:szCs w:val="24"/>
        </w:rPr>
        <w:t>Alspaugh</w:t>
      </w:r>
      <w:proofErr w:type="spellEnd"/>
      <w:r w:rsidRPr="005A39D4">
        <w:rPr>
          <w:rFonts w:cs="Times New Roman"/>
          <w:szCs w:val="24"/>
        </w:rPr>
        <w:t>, J. W. (Feb.–</w:t>
      </w:r>
      <w:r w:rsidR="006D173F" w:rsidRPr="005A39D4">
        <w:rPr>
          <w:rFonts w:cs="Times New Roman"/>
          <w:szCs w:val="24"/>
        </w:rPr>
        <w:t>Mar., 1998). The relationship of school-t</w:t>
      </w:r>
      <w:r w:rsidR="00C52762" w:rsidRPr="005A39D4">
        <w:rPr>
          <w:rFonts w:cs="Times New Roman"/>
          <w:szCs w:val="24"/>
        </w:rPr>
        <w:t>o-school transitions and school</w:t>
      </w:r>
      <w:r w:rsidR="0053181C" w:rsidRPr="005A39D4">
        <w:rPr>
          <w:rFonts w:cs="Times New Roman"/>
          <w:szCs w:val="24"/>
        </w:rPr>
        <w:t xml:space="preserve"> </w:t>
      </w:r>
      <w:r w:rsidR="006D173F" w:rsidRPr="005A39D4">
        <w:rPr>
          <w:rFonts w:cs="Times New Roman"/>
          <w:szCs w:val="24"/>
        </w:rPr>
        <w:t>size to</w:t>
      </w:r>
      <w:r w:rsidR="00C52762" w:rsidRPr="005A39D4">
        <w:rPr>
          <w:rFonts w:cs="Times New Roman"/>
          <w:szCs w:val="24"/>
        </w:rPr>
        <w:t xml:space="preserve"> </w:t>
      </w:r>
      <w:r w:rsidR="006D173F" w:rsidRPr="005A39D4">
        <w:rPr>
          <w:rFonts w:cs="Times New Roman"/>
          <w:szCs w:val="24"/>
        </w:rPr>
        <w:t xml:space="preserve">high school dropout rates. </w:t>
      </w:r>
      <w:r w:rsidR="006D173F" w:rsidRPr="005A39D4">
        <w:rPr>
          <w:rFonts w:cs="Times New Roman"/>
          <w:i/>
          <w:szCs w:val="24"/>
        </w:rPr>
        <w:t>The High School Journal</w:t>
      </w:r>
      <w:r w:rsidR="006D173F" w:rsidRPr="005A39D4">
        <w:rPr>
          <w:rFonts w:cs="Times New Roman"/>
          <w:szCs w:val="24"/>
        </w:rPr>
        <w:t xml:space="preserve">, </w:t>
      </w:r>
      <w:r w:rsidR="006D173F" w:rsidRPr="005A39D4">
        <w:rPr>
          <w:rFonts w:cs="Times New Roman"/>
          <w:i/>
          <w:szCs w:val="24"/>
        </w:rPr>
        <w:t>81</w:t>
      </w:r>
      <w:r w:rsidR="006D173F" w:rsidRPr="005A39D4">
        <w:rPr>
          <w:rFonts w:cs="Times New Roman"/>
          <w:szCs w:val="24"/>
        </w:rPr>
        <w:t>, 154-160. Retrieved from</w:t>
      </w:r>
      <w:r w:rsidR="0053181C" w:rsidRPr="005A39D4">
        <w:rPr>
          <w:rFonts w:cs="Times New Roman"/>
          <w:szCs w:val="24"/>
        </w:rPr>
        <w:t xml:space="preserve"> </w:t>
      </w:r>
      <w:hyperlink r:id="rId12" w:history="1">
        <w:r w:rsidR="00F87FB1" w:rsidRPr="005A39D4">
          <w:rPr>
            <w:rStyle w:val="Hyperlink"/>
            <w:rFonts w:cs="Times New Roman"/>
            <w:color w:val="auto"/>
            <w:szCs w:val="24"/>
            <w:u w:val="none"/>
          </w:rPr>
          <w:t>http://www.jstor.org/stable/40364516</w:t>
        </w:r>
      </w:hyperlink>
    </w:p>
    <w:p w14:paraId="6ED255D7" w14:textId="77777777" w:rsidR="0053181C" w:rsidRPr="005A39D4" w:rsidRDefault="0053181C" w:rsidP="005A39D4">
      <w:pPr>
        <w:ind w:left="720" w:hanging="720"/>
        <w:rPr>
          <w:rFonts w:cs="Times New Roman"/>
          <w:szCs w:val="24"/>
        </w:rPr>
      </w:pPr>
    </w:p>
    <w:p w14:paraId="3379DB13" w14:textId="74F949DC" w:rsidR="00C52762" w:rsidRPr="005A39D4" w:rsidRDefault="00B32575" w:rsidP="005A39D4">
      <w:pPr>
        <w:pStyle w:val="NoSpacing"/>
        <w:ind w:left="720" w:hanging="720"/>
        <w:rPr>
          <w:rFonts w:ascii="Times New Roman" w:hAnsi="Times New Roman"/>
          <w:sz w:val="24"/>
          <w:szCs w:val="24"/>
        </w:rPr>
      </w:pPr>
      <w:r w:rsidRPr="005A39D4">
        <w:rPr>
          <w:rFonts w:ascii="Times New Roman" w:hAnsi="Times New Roman"/>
          <w:sz w:val="24"/>
          <w:szCs w:val="24"/>
        </w:rPr>
        <w:t>Chap</w:t>
      </w:r>
      <w:r w:rsidR="00576B1F" w:rsidRPr="005A39D4">
        <w:rPr>
          <w:rFonts w:ascii="Times New Roman" w:hAnsi="Times New Roman"/>
          <w:sz w:val="24"/>
          <w:szCs w:val="24"/>
        </w:rPr>
        <w:t>p</w:t>
      </w:r>
      <w:r w:rsidRPr="005A39D4">
        <w:rPr>
          <w:rFonts w:ascii="Times New Roman" w:hAnsi="Times New Roman"/>
          <w:sz w:val="24"/>
          <w:szCs w:val="24"/>
        </w:rPr>
        <w:t>el</w:t>
      </w:r>
      <w:r w:rsidR="00576B1F" w:rsidRPr="005A39D4">
        <w:rPr>
          <w:rFonts w:ascii="Times New Roman" w:hAnsi="Times New Roman"/>
          <w:sz w:val="24"/>
          <w:szCs w:val="24"/>
        </w:rPr>
        <w:t>l</w:t>
      </w:r>
      <w:r w:rsidRPr="005A39D4">
        <w:rPr>
          <w:rFonts w:ascii="Times New Roman" w:hAnsi="Times New Roman"/>
          <w:sz w:val="24"/>
          <w:szCs w:val="24"/>
        </w:rPr>
        <w:t>, S., O’Conn</w:t>
      </w:r>
      <w:r w:rsidR="00576B1F" w:rsidRPr="005A39D4">
        <w:rPr>
          <w:rFonts w:ascii="Times New Roman" w:hAnsi="Times New Roman"/>
          <w:sz w:val="24"/>
          <w:szCs w:val="24"/>
        </w:rPr>
        <w:t>o</w:t>
      </w:r>
      <w:r w:rsidRPr="005A39D4">
        <w:rPr>
          <w:rFonts w:ascii="Times New Roman" w:hAnsi="Times New Roman"/>
          <w:sz w:val="24"/>
          <w:szCs w:val="24"/>
        </w:rPr>
        <w:t xml:space="preserve">r, P., Withington, C., </w:t>
      </w:r>
      <w:r w:rsidR="00576B1F" w:rsidRPr="005A39D4">
        <w:rPr>
          <w:rFonts w:ascii="Times New Roman" w:hAnsi="Times New Roman"/>
          <w:sz w:val="24"/>
          <w:szCs w:val="24"/>
        </w:rPr>
        <w:t xml:space="preserve">&amp; </w:t>
      </w:r>
      <w:r w:rsidRPr="005A39D4">
        <w:rPr>
          <w:rFonts w:ascii="Times New Roman" w:hAnsi="Times New Roman"/>
          <w:sz w:val="24"/>
          <w:szCs w:val="24"/>
        </w:rPr>
        <w:t>Stegelin, D. (20</w:t>
      </w:r>
      <w:r w:rsidR="00C52762" w:rsidRPr="005A39D4">
        <w:rPr>
          <w:rFonts w:ascii="Times New Roman" w:hAnsi="Times New Roman"/>
          <w:sz w:val="24"/>
          <w:szCs w:val="24"/>
        </w:rPr>
        <w:t xml:space="preserve">15). </w:t>
      </w:r>
      <w:r w:rsidR="00C52762" w:rsidRPr="005A39D4">
        <w:rPr>
          <w:rFonts w:ascii="Times New Roman" w:hAnsi="Times New Roman"/>
          <w:i/>
          <w:sz w:val="24"/>
          <w:szCs w:val="24"/>
        </w:rPr>
        <w:t>A meta-analysis of dropout</w:t>
      </w:r>
      <w:r w:rsidR="0053181C" w:rsidRPr="005A39D4">
        <w:rPr>
          <w:rFonts w:ascii="Times New Roman" w:hAnsi="Times New Roman"/>
          <w:i/>
          <w:sz w:val="24"/>
          <w:szCs w:val="24"/>
        </w:rPr>
        <w:t xml:space="preserve"> </w:t>
      </w:r>
      <w:r w:rsidRPr="005A39D4">
        <w:rPr>
          <w:rFonts w:ascii="Times New Roman" w:hAnsi="Times New Roman"/>
          <w:i/>
          <w:sz w:val="24"/>
          <w:szCs w:val="24"/>
        </w:rPr>
        <w:t>prevention outcomes and strategies.</w:t>
      </w:r>
      <w:r w:rsidRPr="005A39D4">
        <w:rPr>
          <w:rFonts w:ascii="Times New Roman" w:hAnsi="Times New Roman"/>
          <w:sz w:val="24"/>
          <w:szCs w:val="24"/>
        </w:rPr>
        <w:t xml:space="preserve"> Norfolk, </w:t>
      </w:r>
      <w:r w:rsidR="00C52762" w:rsidRPr="005A39D4">
        <w:rPr>
          <w:rFonts w:ascii="Times New Roman" w:hAnsi="Times New Roman"/>
          <w:sz w:val="24"/>
          <w:szCs w:val="24"/>
        </w:rPr>
        <w:t>VA, Old Dominion University and</w:t>
      </w:r>
      <w:r w:rsidR="0053181C" w:rsidRPr="005A39D4">
        <w:rPr>
          <w:rFonts w:ascii="Times New Roman" w:hAnsi="Times New Roman"/>
          <w:sz w:val="24"/>
          <w:szCs w:val="24"/>
        </w:rPr>
        <w:t xml:space="preserve"> </w:t>
      </w:r>
      <w:r w:rsidRPr="005A39D4">
        <w:rPr>
          <w:rFonts w:ascii="Times New Roman" w:hAnsi="Times New Roman"/>
          <w:sz w:val="24"/>
          <w:szCs w:val="24"/>
        </w:rPr>
        <w:t>Clemson, SC, National Dropout Prevention Center.</w:t>
      </w:r>
    </w:p>
    <w:p w14:paraId="163409E0" w14:textId="77777777" w:rsidR="0053181C" w:rsidRPr="005A39D4" w:rsidRDefault="0053181C" w:rsidP="005A39D4">
      <w:pPr>
        <w:pStyle w:val="NoSpacing"/>
        <w:ind w:left="720" w:hanging="720"/>
        <w:rPr>
          <w:rFonts w:ascii="Times New Roman" w:hAnsi="Times New Roman"/>
          <w:sz w:val="24"/>
          <w:szCs w:val="24"/>
        </w:rPr>
      </w:pPr>
    </w:p>
    <w:p w14:paraId="09CFDC11" w14:textId="231F3706" w:rsidR="00B00725" w:rsidRPr="005A39D4" w:rsidRDefault="00B00725" w:rsidP="005A39D4">
      <w:pPr>
        <w:pStyle w:val="NoSpacing"/>
        <w:ind w:left="720" w:hanging="720"/>
        <w:rPr>
          <w:rFonts w:ascii="Times New Roman" w:hAnsi="Times New Roman"/>
          <w:sz w:val="24"/>
          <w:szCs w:val="24"/>
        </w:rPr>
      </w:pPr>
      <w:r w:rsidRPr="005A39D4">
        <w:rPr>
          <w:rFonts w:ascii="Times New Roman" w:hAnsi="Times New Roman"/>
          <w:sz w:val="24"/>
          <w:szCs w:val="24"/>
        </w:rPr>
        <w:t xml:space="preserve">Doll, J. J., </w:t>
      </w:r>
      <w:proofErr w:type="spellStart"/>
      <w:r w:rsidRPr="005A39D4">
        <w:rPr>
          <w:rFonts w:ascii="Times New Roman" w:hAnsi="Times New Roman"/>
          <w:sz w:val="24"/>
          <w:szCs w:val="24"/>
        </w:rPr>
        <w:t>Eslami</w:t>
      </w:r>
      <w:proofErr w:type="spellEnd"/>
      <w:r w:rsidRPr="005A39D4">
        <w:rPr>
          <w:rFonts w:ascii="Times New Roman" w:hAnsi="Times New Roman"/>
          <w:sz w:val="24"/>
          <w:szCs w:val="24"/>
        </w:rPr>
        <w:t>, Z., &amp; Walters, L. (2013). Understandin</w:t>
      </w:r>
      <w:r w:rsidR="00C52762" w:rsidRPr="005A39D4">
        <w:rPr>
          <w:rFonts w:ascii="Times New Roman" w:hAnsi="Times New Roman"/>
          <w:sz w:val="24"/>
          <w:szCs w:val="24"/>
        </w:rPr>
        <w:t>g why students drop out of high</w:t>
      </w:r>
      <w:r w:rsidR="0053181C" w:rsidRPr="005A39D4">
        <w:rPr>
          <w:rFonts w:ascii="Times New Roman" w:hAnsi="Times New Roman"/>
          <w:sz w:val="24"/>
          <w:szCs w:val="24"/>
        </w:rPr>
        <w:t xml:space="preserve"> </w:t>
      </w:r>
      <w:r w:rsidRPr="005A39D4">
        <w:rPr>
          <w:rFonts w:ascii="Times New Roman" w:hAnsi="Times New Roman"/>
          <w:sz w:val="24"/>
          <w:szCs w:val="24"/>
        </w:rPr>
        <w:t xml:space="preserve">school, according to their own reports: Are they pushed or pulled, or </w:t>
      </w:r>
      <w:r w:rsidR="00C52762" w:rsidRPr="005A39D4">
        <w:rPr>
          <w:rFonts w:ascii="Times New Roman" w:hAnsi="Times New Roman"/>
          <w:sz w:val="24"/>
          <w:szCs w:val="24"/>
        </w:rPr>
        <w:t>do they fall out? A</w:t>
      </w:r>
      <w:r w:rsidR="0053181C" w:rsidRPr="005A39D4">
        <w:rPr>
          <w:rFonts w:ascii="Times New Roman" w:hAnsi="Times New Roman"/>
          <w:sz w:val="24"/>
          <w:szCs w:val="24"/>
        </w:rPr>
        <w:t xml:space="preserve"> </w:t>
      </w:r>
      <w:r w:rsidRPr="005A39D4">
        <w:rPr>
          <w:rFonts w:ascii="Times New Roman" w:hAnsi="Times New Roman"/>
          <w:sz w:val="24"/>
          <w:szCs w:val="24"/>
        </w:rPr>
        <w:t xml:space="preserve">comparative analysis of seven nationally representative studies. </w:t>
      </w:r>
      <w:r w:rsidRPr="005A39D4">
        <w:rPr>
          <w:rFonts w:ascii="Times New Roman" w:hAnsi="Times New Roman"/>
          <w:i/>
          <w:iCs/>
          <w:sz w:val="24"/>
          <w:szCs w:val="24"/>
        </w:rPr>
        <w:t>SAGE Open</w:t>
      </w:r>
      <w:r w:rsidR="00576B1F" w:rsidRPr="005A39D4">
        <w:rPr>
          <w:rFonts w:ascii="Times New Roman" w:hAnsi="Times New Roman"/>
          <w:i/>
          <w:iCs/>
          <w:sz w:val="24"/>
          <w:szCs w:val="24"/>
        </w:rPr>
        <w:t>, 3</w:t>
      </w:r>
      <w:r w:rsidR="00576B1F" w:rsidRPr="005A39D4">
        <w:rPr>
          <w:rFonts w:ascii="Times New Roman" w:hAnsi="Times New Roman"/>
          <w:iCs/>
          <w:sz w:val="24"/>
          <w:szCs w:val="24"/>
        </w:rPr>
        <w:t>(4)</w:t>
      </w:r>
      <w:r w:rsidRPr="005A39D4">
        <w:rPr>
          <w:rFonts w:ascii="Times New Roman" w:hAnsi="Times New Roman"/>
          <w:iCs/>
          <w:sz w:val="24"/>
          <w:szCs w:val="24"/>
        </w:rPr>
        <w:t>,</w:t>
      </w:r>
      <w:r w:rsidRPr="005A39D4">
        <w:rPr>
          <w:rFonts w:ascii="Times New Roman" w:hAnsi="Times New Roman"/>
          <w:i/>
          <w:iCs/>
          <w:sz w:val="24"/>
          <w:szCs w:val="24"/>
        </w:rPr>
        <w:t xml:space="preserve"> </w:t>
      </w:r>
      <w:r w:rsidRPr="005A39D4">
        <w:rPr>
          <w:rFonts w:ascii="Times New Roman" w:hAnsi="Times New Roman"/>
          <w:sz w:val="24"/>
          <w:szCs w:val="24"/>
        </w:rPr>
        <w:t>October</w:t>
      </w:r>
      <w:r w:rsidR="00C52762" w:rsidRPr="005A39D4">
        <w:rPr>
          <w:rFonts w:ascii="Times New Roman" w:hAnsi="Times New Roman"/>
          <w:sz w:val="24"/>
          <w:szCs w:val="24"/>
        </w:rPr>
        <w:t xml:space="preserve">–December, 1–15. Retrieved from </w:t>
      </w:r>
      <w:hyperlink r:id="rId13" w:history="1">
        <w:r w:rsidRPr="005A39D4">
          <w:rPr>
            <w:rStyle w:val="Hyperlink"/>
            <w:rFonts w:ascii="Times New Roman" w:hAnsi="Times New Roman"/>
            <w:color w:val="auto"/>
            <w:sz w:val="24"/>
            <w:szCs w:val="24"/>
            <w:u w:val="none"/>
          </w:rPr>
          <w:t>http://sgo.sagepub.com/content/spsgo/3/4/2158244013503834.full.pdf</w:t>
        </w:r>
      </w:hyperlink>
      <w:r w:rsidRPr="005A39D4">
        <w:rPr>
          <w:rFonts w:ascii="Times New Roman" w:hAnsi="Times New Roman"/>
          <w:sz w:val="24"/>
          <w:szCs w:val="24"/>
        </w:rPr>
        <w:t xml:space="preserve">  </w:t>
      </w:r>
    </w:p>
    <w:p w14:paraId="7C0F9348" w14:textId="77777777" w:rsidR="00F212A7" w:rsidRPr="005A39D4" w:rsidRDefault="00F212A7" w:rsidP="005A39D4">
      <w:pPr>
        <w:pStyle w:val="NoSpacing"/>
        <w:ind w:left="720" w:hanging="720"/>
        <w:rPr>
          <w:rFonts w:ascii="Times New Roman" w:hAnsi="Times New Roman"/>
          <w:sz w:val="24"/>
          <w:szCs w:val="24"/>
        </w:rPr>
      </w:pPr>
    </w:p>
    <w:p w14:paraId="02C3FAD1" w14:textId="4D7EF1EF" w:rsidR="00C52762" w:rsidRPr="005A39D4" w:rsidRDefault="00B32575" w:rsidP="005A39D4">
      <w:pPr>
        <w:pStyle w:val="NoSpacing"/>
        <w:ind w:left="720" w:hanging="720"/>
        <w:rPr>
          <w:rFonts w:ascii="Times New Roman" w:hAnsi="Times New Roman"/>
          <w:sz w:val="24"/>
          <w:szCs w:val="24"/>
        </w:rPr>
      </w:pPr>
      <w:r w:rsidRPr="005A39D4">
        <w:rPr>
          <w:rFonts w:ascii="Times New Roman" w:hAnsi="Times New Roman"/>
          <w:sz w:val="24"/>
          <w:szCs w:val="24"/>
        </w:rPr>
        <w:t xml:space="preserve">Edwards, S. W., &amp; Edwards, R. (2007). </w:t>
      </w:r>
      <w:r w:rsidRPr="005A39D4">
        <w:rPr>
          <w:rFonts w:ascii="Times New Roman" w:hAnsi="Times New Roman"/>
          <w:i/>
          <w:sz w:val="24"/>
          <w:szCs w:val="24"/>
        </w:rPr>
        <w:t>The principal’s role i</w:t>
      </w:r>
      <w:r w:rsidR="00C52762" w:rsidRPr="005A39D4">
        <w:rPr>
          <w:rFonts w:ascii="Times New Roman" w:hAnsi="Times New Roman"/>
          <w:i/>
          <w:sz w:val="24"/>
          <w:szCs w:val="24"/>
        </w:rPr>
        <w:t>n dropout prevention: Seven key</w:t>
      </w:r>
      <w:r w:rsidR="0053181C" w:rsidRPr="005A39D4">
        <w:rPr>
          <w:rFonts w:ascii="Times New Roman" w:hAnsi="Times New Roman"/>
          <w:i/>
          <w:sz w:val="24"/>
          <w:szCs w:val="24"/>
        </w:rPr>
        <w:t xml:space="preserve"> </w:t>
      </w:r>
      <w:r w:rsidRPr="005A39D4">
        <w:rPr>
          <w:rFonts w:ascii="Times New Roman" w:hAnsi="Times New Roman"/>
          <w:i/>
          <w:sz w:val="24"/>
          <w:szCs w:val="24"/>
        </w:rPr>
        <w:t>principles</w:t>
      </w:r>
      <w:r w:rsidRPr="005A39D4">
        <w:rPr>
          <w:rFonts w:ascii="Times New Roman" w:hAnsi="Times New Roman"/>
          <w:sz w:val="24"/>
          <w:szCs w:val="24"/>
        </w:rPr>
        <w:t>. Clemson, SC: National Dropout Preven</w:t>
      </w:r>
      <w:r w:rsidR="00C52762" w:rsidRPr="005A39D4">
        <w:rPr>
          <w:rFonts w:ascii="Times New Roman" w:hAnsi="Times New Roman"/>
          <w:sz w:val="24"/>
          <w:szCs w:val="24"/>
        </w:rPr>
        <w:t>tion Center/Network, College of</w:t>
      </w:r>
      <w:r w:rsidR="0053181C" w:rsidRPr="005A39D4">
        <w:rPr>
          <w:rFonts w:ascii="Times New Roman" w:hAnsi="Times New Roman"/>
          <w:sz w:val="24"/>
          <w:szCs w:val="24"/>
        </w:rPr>
        <w:t xml:space="preserve"> </w:t>
      </w:r>
      <w:r w:rsidRPr="005A39D4">
        <w:rPr>
          <w:rFonts w:ascii="Times New Roman" w:hAnsi="Times New Roman"/>
          <w:sz w:val="24"/>
          <w:szCs w:val="24"/>
        </w:rPr>
        <w:t>Health, Education, and Human Development, Clemson University.</w:t>
      </w:r>
    </w:p>
    <w:p w14:paraId="7C92278A" w14:textId="77777777" w:rsidR="00F212A7" w:rsidRPr="005A39D4" w:rsidRDefault="00F212A7" w:rsidP="005A39D4">
      <w:pPr>
        <w:pStyle w:val="NoSpacing"/>
        <w:ind w:left="720" w:hanging="720"/>
        <w:rPr>
          <w:rFonts w:ascii="Times New Roman" w:hAnsi="Times New Roman"/>
          <w:sz w:val="24"/>
          <w:szCs w:val="24"/>
        </w:rPr>
      </w:pPr>
    </w:p>
    <w:p w14:paraId="0E03D90A" w14:textId="1A133429" w:rsidR="00F212A7" w:rsidRPr="005A39D4" w:rsidRDefault="00FD29C5" w:rsidP="005A39D4">
      <w:pPr>
        <w:pStyle w:val="NoSpacing"/>
        <w:ind w:left="720" w:hanging="720"/>
        <w:rPr>
          <w:rStyle w:val="Hyperlink"/>
          <w:rFonts w:ascii="Times New Roman" w:hAnsi="Times New Roman"/>
          <w:color w:val="auto"/>
          <w:sz w:val="24"/>
          <w:szCs w:val="24"/>
          <w:u w:val="none"/>
        </w:rPr>
      </w:pPr>
      <w:r w:rsidRPr="001F5CA7">
        <w:rPr>
          <w:rFonts w:ascii="Times New Roman" w:hAnsi="Times New Roman"/>
          <w:sz w:val="24"/>
          <w:szCs w:val="24"/>
          <w:lang w:val="it-IT"/>
        </w:rPr>
        <w:t xml:space="preserve">Hale, L., &amp; Canter, A. (n.d.). </w:t>
      </w:r>
      <w:r w:rsidRPr="005A39D4">
        <w:rPr>
          <w:rFonts w:ascii="Times New Roman" w:hAnsi="Times New Roman"/>
          <w:sz w:val="24"/>
          <w:szCs w:val="24"/>
        </w:rPr>
        <w:t>School dropout prevention:</w:t>
      </w:r>
      <w:r w:rsidR="00C52762" w:rsidRPr="005A39D4">
        <w:rPr>
          <w:rFonts w:ascii="Times New Roman" w:hAnsi="Times New Roman"/>
          <w:sz w:val="24"/>
          <w:szCs w:val="24"/>
        </w:rPr>
        <w:t xml:space="preserve"> Information and strategies for</w:t>
      </w:r>
      <w:r w:rsidR="0053181C" w:rsidRPr="005A39D4">
        <w:rPr>
          <w:rFonts w:ascii="Times New Roman" w:hAnsi="Times New Roman"/>
          <w:sz w:val="24"/>
          <w:szCs w:val="24"/>
        </w:rPr>
        <w:t xml:space="preserve"> </w:t>
      </w:r>
      <w:r w:rsidRPr="005A39D4">
        <w:rPr>
          <w:rFonts w:ascii="Times New Roman" w:hAnsi="Times New Roman"/>
          <w:sz w:val="24"/>
          <w:szCs w:val="24"/>
        </w:rPr>
        <w:t xml:space="preserve">educators. </w:t>
      </w:r>
      <w:r w:rsidR="00274797" w:rsidRPr="005A39D4">
        <w:rPr>
          <w:rFonts w:ascii="Times New Roman" w:hAnsi="Times New Roman"/>
          <w:sz w:val="24"/>
          <w:szCs w:val="24"/>
        </w:rPr>
        <w:t xml:space="preserve">In </w:t>
      </w:r>
      <w:r w:rsidR="00274797" w:rsidRPr="005A39D4">
        <w:rPr>
          <w:rFonts w:ascii="Times New Roman" w:hAnsi="Times New Roman"/>
          <w:i/>
          <w:sz w:val="24"/>
          <w:szCs w:val="24"/>
        </w:rPr>
        <w:t>Education Encyclopedia.</w:t>
      </w:r>
      <w:r w:rsidR="00274797" w:rsidRPr="005A39D4">
        <w:rPr>
          <w:rFonts w:ascii="Times New Roman" w:hAnsi="Times New Roman"/>
          <w:sz w:val="24"/>
          <w:szCs w:val="24"/>
        </w:rPr>
        <w:t xml:space="preserve"> StateUniversity.com. </w:t>
      </w:r>
      <w:r w:rsidRPr="005A39D4">
        <w:rPr>
          <w:rFonts w:ascii="Times New Roman" w:hAnsi="Times New Roman"/>
          <w:sz w:val="24"/>
          <w:szCs w:val="24"/>
        </w:rPr>
        <w:t>Retrieved from</w:t>
      </w:r>
      <w:r w:rsidR="00274797" w:rsidRPr="005A39D4">
        <w:rPr>
          <w:rFonts w:ascii="Times New Roman" w:hAnsi="Times New Roman"/>
          <w:sz w:val="24"/>
          <w:szCs w:val="24"/>
        </w:rPr>
        <w:t xml:space="preserve"> </w:t>
      </w:r>
      <w:hyperlink r:id="rId14" w:history="1">
        <w:r w:rsidR="00274797" w:rsidRPr="005A39D4">
          <w:rPr>
            <w:rStyle w:val="Hyperlink"/>
            <w:rFonts w:ascii="Times New Roman" w:hAnsi="Times New Roman"/>
            <w:color w:val="auto"/>
            <w:sz w:val="24"/>
            <w:szCs w:val="24"/>
            <w:u w:val="none"/>
          </w:rPr>
          <w:t>http://www.naspcenter.org/adol_sdpe.html</w:t>
        </w:r>
      </w:hyperlink>
    </w:p>
    <w:p w14:paraId="3A1416F7" w14:textId="77777777" w:rsidR="005A39D4" w:rsidRDefault="005A39D4" w:rsidP="005A39D4">
      <w:pPr>
        <w:ind w:left="720" w:hanging="720"/>
        <w:rPr>
          <w:rFonts w:eastAsiaTheme="minorEastAsia" w:cs="Times New Roman"/>
          <w:szCs w:val="24"/>
        </w:rPr>
      </w:pPr>
    </w:p>
    <w:p w14:paraId="27A3DC63" w14:textId="2A6B93E0" w:rsidR="0053181C" w:rsidRPr="005A39D4" w:rsidRDefault="0053181C" w:rsidP="005A39D4">
      <w:pPr>
        <w:ind w:left="720" w:hanging="720"/>
        <w:rPr>
          <w:rFonts w:eastAsiaTheme="minorEastAsia" w:cs="Times New Roman"/>
          <w:szCs w:val="24"/>
        </w:rPr>
      </w:pPr>
      <w:r w:rsidRPr="005A39D4">
        <w:rPr>
          <w:rFonts w:eastAsiaTheme="minorEastAsia" w:cs="Times New Roman"/>
          <w:szCs w:val="24"/>
        </w:rPr>
        <w:t xml:space="preserve">Hammond, C., Linton, D., </w:t>
      </w:r>
      <w:proofErr w:type="spellStart"/>
      <w:r w:rsidRPr="005A39D4">
        <w:rPr>
          <w:rFonts w:eastAsiaTheme="minorEastAsia" w:cs="Times New Roman"/>
          <w:szCs w:val="24"/>
        </w:rPr>
        <w:t>Smink</w:t>
      </w:r>
      <w:proofErr w:type="spellEnd"/>
      <w:r w:rsidRPr="005A39D4">
        <w:rPr>
          <w:rFonts w:eastAsiaTheme="minorEastAsia" w:cs="Times New Roman"/>
          <w:szCs w:val="24"/>
        </w:rPr>
        <w:t xml:space="preserve">, J., &amp; Drew, S. (2007). </w:t>
      </w:r>
      <w:r w:rsidRPr="005A39D4">
        <w:rPr>
          <w:rFonts w:ascii="TimesNewRomanPS" w:eastAsiaTheme="minorEastAsia" w:hAnsi="TimesNewRomanPS" w:cs="Times New Roman"/>
          <w:i/>
          <w:iCs/>
          <w:szCs w:val="24"/>
        </w:rPr>
        <w:t xml:space="preserve">Dropout </w:t>
      </w:r>
      <w:r w:rsidRPr="005A39D4">
        <w:rPr>
          <w:rFonts w:ascii="TimesNewRomanPS" w:eastAsiaTheme="minorEastAsia" w:hAnsi="TimesNewRomanPS" w:cs="Times New Roman" w:hint="eastAsia"/>
          <w:i/>
          <w:iCs/>
          <w:szCs w:val="24"/>
        </w:rPr>
        <w:t>risk factors and exemplary progra</w:t>
      </w:r>
      <w:r w:rsidRPr="005A39D4">
        <w:rPr>
          <w:rFonts w:ascii="TimesNewRomanPS" w:eastAsiaTheme="minorEastAsia" w:hAnsi="TimesNewRomanPS" w:cs="Times New Roman"/>
          <w:i/>
          <w:iCs/>
          <w:szCs w:val="24"/>
        </w:rPr>
        <w:t xml:space="preserve">ms. </w:t>
      </w:r>
      <w:r w:rsidRPr="005A39D4">
        <w:rPr>
          <w:rFonts w:eastAsiaTheme="minorEastAsia" w:cs="Times New Roman"/>
          <w:szCs w:val="24"/>
        </w:rPr>
        <w:t xml:space="preserve">Clemson, SC: National Dropout Prevention Center, Communities In Schools, Inc. Retrieved from </w:t>
      </w:r>
      <w:hyperlink r:id="rId15" w:history="1">
        <w:r w:rsidRPr="005A39D4">
          <w:rPr>
            <w:rStyle w:val="Hyperlink"/>
            <w:rFonts w:eastAsiaTheme="minorEastAsia" w:cs="Times New Roman"/>
            <w:color w:val="auto"/>
            <w:szCs w:val="24"/>
            <w:u w:val="none"/>
          </w:rPr>
          <w:t>http://dropoutprevention.org/resources/major-research-reports/dropout-risk-factors-and-exemplary-programs-a-technical-report/</w:t>
        </w:r>
      </w:hyperlink>
    </w:p>
    <w:p w14:paraId="2FC1E277" w14:textId="77777777" w:rsidR="005A39D4" w:rsidRDefault="005A39D4" w:rsidP="005A39D4">
      <w:pPr>
        <w:pStyle w:val="NoSpacing"/>
        <w:ind w:left="720" w:hanging="720"/>
        <w:rPr>
          <w:rFonts w:ascii="Times New Roman" w:hAnsi="Times New Roman"/>
          <w:sz w:val="24"/>
          <w:szCs w:val="24"/>
        </w:rPr>
      </w:pPr>
    </w:p>
    <w:p w14:paraId="351D619E" w14:textId="4160CA73" w:rsidR="00F212A7" w:rsidRPr="005A39D4" w:rsidRDefault="00DA3682" w:rsidP="005A39D4">
      <w:pPr>
        <w:pStyle w:val="NoSpacing"/>
        <w:ind w:left="720" w:hanging="720"/>
        <w:rPr>
          <w:rFonts w:ascii="Times New Roman" w:hAnsi="Times New Roman"/>
          <w:sz w:val="24"/>
          <w:szCs w:val="24"/>
        </w:rPr>
      </w:pPr>
      <w:r w:rsidRPr="005A39D4">
        <w:rPr>
          <w:rFonts w:ascii="Times New Roman" w:hAnsi="Times New Roman"/>
          <w:sz w:val="24"/>
          <w:szCs w:val="24"/>
        </w:rPr>
        <w:t>Harmon, H., &amp; We</w:t>
      </w:r>
      <w:r w:rsidR="00274797" w:rsidRPr="005A39D4">
        <w:rPr>
          <w:rFonts w:ascii="Times New Roman" w:hAnsi="Times New Roman"/>
          <w:sz w:val="24"/>
          <w:szCs w:val="24"/>
        </w:rPr>
        <w:t>eks, S. (</w:t>
      </w:r>
      <w:proofErr w:type="spellStart"/>
      <w:r w:rsidR="00274797" w:rsidRPr="005A39D4">
        <w:rPr>
          <w:rFonts w:ascii="Times New Roman" w:hAnsi="Times New Roman"/>
          <w:sz w:val="24"/>
          <w:szCs w:val="24"/>
        </w:rPr>
        <w:t>n.d.</w:t>
      </w:r>
      <w:proofErr w:type="spellEnd"/>
      <w:r w:rsidR="00274797" w:rsidRPr="005A39D4">
        <w:rPr>
          <w:rFonts w:ascii="Times New Roman" w:hAnsi="Times New Roman"/>
          <w:sz w:val="24"/>
          <w:szCs w:val="24"/>
        </w:rPr>
        <w:t>). Rural education—</w:t>
      </w:r>
      <w:r w:rsidR="005A39D4">
        <w:rPr>
          <w:rFonts w:ascii="Times New Roman" w:hAnsi="Times New Roman"/>
          <w:sz w:val="24"/>
          <w:szCs w:val="24"/>
        </w:rPr>
        <w:t>O</w:t>
      </w:r>
      <w:r w:rsidRPr="005A39D4">
        <w:rPr>
          <w:rFonts w:ascii="Times New Roman" w:hAnsi="Times New Roman"/>
          <w:sz w:val="24"/>
          <w:szCs w:val="24"/>
        </w:rPr>
        <w:t>verview</w:t>
      </w:r>
      <w:r w:rsidR="00274797" w:rsidRPr="005A39D4">
        <w:rPr>
          <w:rFonts w:ascii="Times New Roman" w:hAnsi="Times New Roman"/>
          <w:sz w:val="24"/>
          <w:szCs w:val="24"/>
        </w:rPr>
        <w:t>,</w:t>
      </w:r>
      <w:r w:rsidRPr="005A39D4">
        <w:rPr>
          <w:rFonts w:ascii="Times New Roman" w:hAnsi="Times New Roman"/>
          <w:sz w:val="24"/>
          <w:szCs w:val="24"/>
        </w:rPr>
        <w:t xml:space="preserve"> international context</w:t>
      </w:r>
      <w:r w:rsidR="00C52762" w:rsidRPr="005A39D4">
        <w:rPr>
          <w:rFonts w:ascii="Times New Roman" w:hAnsi="Times New Roman"/>
          <w:sz w:val="24"/>
          <w:szCs w:val="24"/>
        </w:rPr>
        <w:t>. Retrieved</w:t>
      </w:r>
      <w:r w:rsidR="0053181C" w:rsidRPr="005A39D4">
        <w:rPr>
          <w:rFonts w:ascii="Times New Roman" w:hAnsi="Times New Roman"/>
          <w:sz w:val="24"/>
          <w:szCs w:val="24"/>
        </w:rPr>
        <w:t xml:space="preserve"> </w:t>
      </w:r>
      <w:r w:rsidRPr="005A39D4">
        <w:rPr>
          <w:rFonts w:ascii="Times New Roman" w:hAnsi="Times New Roman"/>
          <w:sz w:val="24"/>
          <w:szCs w:val="24"/>
        </w:rPr>
        <w:t xml:space="preserve">from </w:t>
      </w:r>
      <w:hyperlink r:id="rId16" w:history="1">
        <w:r w:rsidRPr="005A39D4">
          <w:rPr>
            <w:rStyle w:val="Hyperlink"/>
            <w:rFonts w:ascii="Times New Roman" w:hAnsi="Times New Roman"/>
            <w:color w:val="auto"/>
            <w:sz w:val="24"/>
            <w:szCs w:val="24"/>
            <w:u w:val="none"/>
          </w:rPr>
          <w:t>http://education.stateuniversity.com/pages/2383/Rural-Education.html</w:t>
        </w:r>
      </w:hyperlink>
    </w:p>
    <w:p w14:paraId="44AA0A82" w14:textId="77777777" w:rsidR="00F212A7" w:rsidRPr="005A39D4" w:rsidRDefault="00F212A7" w:rsidP="005A39D4">
      <w:pPr>
        <w:pStyle w:val="NoSpacing"/>
        <w:ind w:left="720" w:hanging="720"/>
        <w:rPr>
          <w:rFonts w:ascii="Times New Roman" w:hAnsi="Times New Roman"/>
          <w:sz w:val="24"/>
          <w:szCs w:val="24"/>
        </w:rPr>
      </w:pPr>
    </w:p>
    <w:p w14:paraId="047A4199" w14:textId="6A145149" w:rsidR="00576B1F" w:rsidRPr="005A39D4" w:rsidRDefault="00E25942" w:rsidP="005A39D4">
      <w:pPr>
        <w:ind w:left="720" w:hanging="720"/>
      </w:pPr>
      <w:r w:rsidRPr="005A39D4">
        <w:rPr>
          <w:rFonts w:cs="Times New Roman"/>
          <w:szCs w:val="24"/>
        </w:rPr>
        <w:t xml:space="preserve">Jerald, C. </w:t>
      </w:r>
      <w:r w:rsidR="00BE436F" w:rsidRPr="005A39D4">
        <w:rPr>
          <w:rFonts w:cs="Times New Roman"/>
          <w:szCs w:val="24"/>
        </w:rPr>
        <w:t xml:space="preserve">(2006, June). </w:t>
      </w:r>
      <w:r w:rsidRPr="005A39D4">
        <w:rPr>
          <w:rFonts w:cs="Times New Roman"/>
          <w:i/>
          <w:szCs w:val="24"/>
        </w:rPr>
        <w:t>Identifying potential dropouts: Key lessons for building an early warning data</w:t>
      </w:r>
      <w:r w:rsidR="0053181C" w:rsidRPr="005A39D4">
        <w:rPr>
          <w:rFonts w:cs="Times New Roman"/>
          <w:i/>
          <w:szCs w:val="24"/>
        </w:rPr>
        <w:t xml:space="preserve"> </w:t>
      </w:r>
      <w:r w:rsidR="00274797" w:rsidRPr="005A39D4">
        <w:rPr>
          <w:rFonts w:cs="Times New Roman"/>
          <w:i/>
          <w:szCs w:val="24"/>
        </w:rPr>
        <w:t>s</w:t>
      </w:r>
      <w:r w:rsidR="00AB019A" w:rsidRPr="005A39D4">
        <w:rPr>
          <w:rFonts w:cs="Times New Roman"/>
          <w:i/>
          <w:szCs w:val="24"/>
        </w:rPr>
        <w:t>ystem.</w:t>
      </w:r>
      <w:r w:rsidR="00BE436F" w:rsidRPr="005A39D4">
        <w:rPr>
          <w:rFonts w:cs="Times New Roman"/>
          <w:szCs w:val="24"/>
        </w:rPr>
        <w:t xml:space="preserve"> </w:t>
      </w:r>
      <w:r w:rsidR="00AB019A" w:rsidRPr="005A39D4">
        <w:rPr>
          <w:rFonts w:cs="Times New Roman"/>
          <w:szCs w:val="24"/>
        </w:rPr>
        <w:t xml:space="preserve">Retrieved from Achieve Inc. website: </w:t>
      </w:r>
      <w:hyperlink r:id="rId17" w:history="1">
        <w:r w:rsidR="00AB019A" w:rsidRPr="005A39D4">
          <w:rPr>
            <w:rStyle w:val="Hyperlink"/>
            <w:color w:val="auto"/>
            <w:u w:val="none"/>
          </w:rPr>
          <w:t>https://www.achieve.org/files/Identifying-Potential-Dropouts.pdf</w:t>
        </w:r>
      </w:hyperlink>
    </w:p>
    <w:p w14:paraId="0B3AF698" w14:textId="77777777" w:rsidR="00AB019A" w:rsidRPr="005A39D4" w:rsidRDefault="00AB019A" w:rsidP="005A39D4">
      <w:pPr>
        <w:ind w:left="720" w:hanging="720"/>
        <w:rPr>
          <w:rStyle w:val="Hyperlink"/>
          <w:color w:val="auto"/>
          <w:szCs w:val="24"/>
          <w:u w:val="none"/>
        </w:rPr>
      </w:pPr>
    </w:p>
    <w:p w14:paraId="3930C9B9" w14:textId="350BEBFA" w:rsidR="00C52762" w:rsidRPr="005A39D4" w:rsidRDefault="00E65021" w:rsidP="005A39D4">
      <w:pPr>
        <w:pStyle w:val="NoSpacing"/>
        <w:ind w:left="720" w:hanging="720"/>
        <w:rPr>
          <w:rFonts w:ascii="Times New Roman" w:hAnsi="Times New Roman"/>
          <w:sz w:val="24"/>
          <w:szCs w:val="24"/>
        </w:rPr>
      </w:pPr>
      <w:proofErr w:type="spellStart"/>
      <w:r w:rsidRPr="005A39D4">
        <w:rPr>
          <w:rFonts w:ascii="Times New Roman" w:hAnsi="Times New Roman"/>
          <w:sz w:val="24"/>
          <w:szCs w:val="24"/>
        </w:rPr>
        <w:t>Mattern</w:t>
      </w:r>
      <w:proofErr w:type="spellEnd"/>
      <w:r w:rsidR="006A0D9D" w:rsidRPr="005A39D4">
        <w:rPr>
          <w:rFonts w:ascii="Times New Roman" w:hAnsi="Times New Roman"/>
          <w:sz w:val="24"/>
          <w:szCs w:val="24"/>
        </w:rPr>
        <w:t xml:space="preserve">, K., </w:t>
      </w:r>
      <w:proofErr w:type="spellStart"/>
      <w:r w:rsidR="006A0D9D" w:rsidRPr="005A39D4">
        <w:rPr>
          <w:rFonts w:ascii="Times New Roman" w:hAnsi="Times New Roman"/>
          <w:sz w:val="24"/>
          <w:szCs w:val="24"/>
        </w:rPr>
        <w:t>Burrus</w:t>
      </w:r>
      <w:proofErr w:type="spellEnd"/>
      <w:r w:rsidR="006A0D9D" w:rsidRPr="005A39D4">
        <w:rPr>
          <w:rFonts w:ascii="Times New Roman" w:hAnsi="Times New Roman"/>
          <w:sz w:val="24"/>
          <w:szCs w:val="24"/>
        </w:rPr>
        <w:t xml:space="preserve">, J., </w:t>
      </w:r>
      <w:proofErr w:type="spellStart"/>
      <w:r w:rsidR="006A0D9D" w:rsidRPr="005A39D4">
        <w:rPr>
          <w:rFonts w:ascii="Times New Roman" w:hAnsi="Times New Roman"/>
          <w:sz w:val="24"/>
          <w:szCs w:val="24"/>
        </w:rPr>
        <w:t>Camara</w:t>
      </w:r>
      <w:proofErr w:type="spellEnd"/>
      <w:r w:rsidR="006A0D9D" w:rsidRPr="005A39D4">
        <w:rPr>
          <w:rFonts w:ascii="Times New Roman" w:hAnsi="Times New Roman"/>
          <w:sz w:val="24"/>
          <w:szCs w:val="24"/>
        </w:rPr>
        <w:t>, W., O’Connor, R</w:t>
      </w:r>
      <w:r w:rsidR="0053181C" w:rsidRPr="005A39D4">
        <w:rPr>
          <w:rFonts w:ascii="Times New Roman" w:hAnsi="Times New Roman"/>
          <w:sz w:val="24"/>
          <w:szCs w:val="24"/>
        </w:rPr>
        <w:t xml:space="preserve">., Hanson, M. A., </w:t>
      </w:r>
      <w:proofErr w:type="spellStart"/>
      <w:r w:rsidR="0053181C" w:rsidRPr="005A39D4">
        <w:rPr>
          <w:rFonts w:ascii="Times New Roman" w:hAnsi="Times New Roman"/>
          <w:sz w:val="24"/>
          <w:szCs w:val="24"/>
        </w:rPr>
        <w:t>Gambrell</w:t>
      </w:r>
      <w:proofErr w:type="spellEnd"/>
      <w:r w:rsidR="0053181C" w:rsidRPr="005A39D4">
        <w:rPr>
          <w:rFonts w:ascii="Times New Roman" w:hAnsi="Times New Roman"/>
          <w:sz w:val="24"/>
          <w:szCs w:val="24"/>
        </w:rPr>
        <w:t>, J.,</w:t>
      </w:r>
      <w:r w:rsidR="009401B7" w:rsidRPr="005A39D4">
        <w:rPr>
          <w:rFonts w:ascii="Times New Roman" w:hAnsi="Times New Roman"/>
          <w:sz w:val="24"/>
          <w:szCs w:val="24"/>
        </w:rPr>
        <w:t xml:space="preserve"> </w:t>
      </w:r>
      <w:proofErr w:type="spellStart"/>
      <w:r w:rsidR="009401B7" w:rsidRPr="005A39D4">
        <w:rPr>
          <w:rFonts w:ascii="Times New Roman" w:hAnsi="Times New Roman"/>
          <w:sz w:val="24"/>
          <w:szCs w:val="24"/>
        </w:rPr>
        <w:t>Casilla</w:t>
      </w:r>
      <w:proofErr w:type="spellEnd"/>
      <w:r w:rsidR="009401B7" w:rsidRPr="005A39D4">
        <w:rPr>
          <w:rFonts w:ascii="Times New Roman" w:hAnsi="Times New Roman"/>
          <w:sz w:val="24"/>
          <w:szCs w:val="24"/>
        </w:rPr>
        <w:t xml:space="preserve">, A, &amp; </w:t>
      </w:r>
      <w:proofErr w:type="spellStart"/>
      <w:r w:rsidR="006A0D9D" w:rsidRPr="005A39D4">
        <w:rPr>
          <w:rFonts w:ascii="Times New Roman" w:hAnsi="Times New Roman"/>
          <w:sz w:val="24"/>
          <w:szCs w:val="24"/>
        </w:rPr>
        <w:t>Bobek</w:t>
      </w:r>
      <w:proofErr w:type="spellEnd"/>
      <w:r w:rsidR="006A0D9D" w:rsidRPr="005A39D4">
        <w:rPr>
          <w:rFonts w:ascii="Times New Roman" w:hAnsi="Times New Roman"/>
          <w:sz w:val="24"/>
          <w:szCs w:val="24"/>
        </w:rPr>
        <w:t>, B.</w:t>
      </w:r>
      <w:r w:rsidR="009401B7" w:rsidRPr="005A39D4">
        <w:rPr>
          <w:rFonts w:ascii="Times New Roman" w:hAnsi="Times New Roman"/>
          <w:sz w:val="24"/>
          <w:szCs w:val="24"/>
        </w:rPr>
        <w:t xml:space="preserve"> (2014). </w:t>
      </w:r>
      <w:r w:rsidR="006A0D9D" w:rsidRPr="005A39D4">
        <w:rPr>
          <w:rFonts w:ascii="Times New Roman" w:hAnsi="Times New Roman"/>
          <w:i/>
          <w:sz w:val="24"/>
          <w:szCs w:val="24"/>
        </w:rPr>
        <w:t>Broadening the definition of college and career readiness: A holistic approach</w:t>
      </w:r>
      <w:r w:rsidR="001B56FC" w:rsidRPr="005A39D4">
        <w:rPr>
          <w:rFonts w:ascii="Times New Roman" w:hAnsi="Times New Roman"/>
          <w:sz w:val="24"/>
          <w:szCs w:val="24"/>
        </w:rPr>
        <w:t xml:space="preserve">. </w:t>
      </w:r>
      <w:r w:rsidR="006A0D9D" w:rsidRPr="005A39D4">
        <w:rPr>
          <w:rFonts w:ascii="Times New Roman" w:hAnsi="Times New Roman"/>
          <w:sz w:val="24"/>
          <w:szCs w:val="24"/>
        </w:rPr>
        <w:t>ACT Research Report</w:t>
      </w:r>
      <w:r w:rsidR="001B56FC" w:rsidRPr="005A39D4">
        <w:rPr>
          <w:rFonts w:ascii="Times New Roman" w:hAnsi="Times New Roman"/>
          <w:sz w:val="24"/>
          <w:szCs w:val="24"/>
        </w:rPr>
        <w:t xml:space="preserve"> No. 2014-5)</w:t>
      </w:r>
      <w:r w:rsidR="006A0D9D" w:rsidRPr="005A39D4">
        <w:rPr>
          <w:rFonts w:ascii="Times New Roman" w:hAnsi="Times New Roman"/>
          <w:i/>
          <w:sz w:val="24"/>
          <w:szCs w:val="24"/>
        </w:rPr>
        <w:t>.</w:t>
      </w:r>
      <w:r w:rsidR="001B56FC" w:rsidRPr="005A39D4">
        <w:rPr>
          <w:rFonts w:ascii="Times New Roman" w:hAnsi="Times New Roman"/>
          <w:i/>
          <w:sz w:val="24"/>
          <w:szCs w:val="24"/>
        </w:rPr>
        <w:t xml:space="preserve"> </w:t>
      </w:r>
      <w:r w:rsidR="001B56FC" w:rsidRPr="005A39D4">
        <w:rPr>
          <w:rFonts w:ascii="Times New Roman" w:hAnsi="Times New Roman"/>
          <w:sz w:val="24"/>
          <w:szCs w:val="24"/>
        </w:rPr>
        <w:t>Iowa City, IA: ACT, Inc. Retrieved from</w:t>
      </w:r>
      <w:r w:rsidR="006A0D9D" w:rsidRPr="005A39D4">
        <w:rPr>
          <w:rFonts w:ascii="Times New Roman" w:hAnsi="Times New Roman"/>
          <w:i/>
          <w:sz w:val="24"/>
          <w:szCs w:val="24"/>
        </w:rPr>
        <w:t xml:space="preserve"> </w:t>
      </w:r>
      <w:hyperlink r:id="rId18" w:history="1">
        <w:r w:rsidR="00BC6C9C" w:rsidRPr="005A39D4">
          <w:rPr>
            <w:rStyle w:val="Hyperlink"/>
            <w:rFonts w:ascii="Times New Roman" w:hAnsi="Times New Roman"/>
            <w:color w:val="auto"/>
            <w:sz w:val="24"/>
            <w:szCs w:val="24"/>
            <w:u w:val="none"/>
          </w:rPr>
          <w:t>http://www.act.org/content/dam/act/unsecured/documents/ACT_RR2014-5.pdf</w:t>
        </w:r>
      </w:hyperlink>
    </w:p>
    <w:p w14:paraId="108F72A8" w14:textId="77777777" w:rsidR="00BC6C9C" w:rsidRPr="005A39D4" w:rsidRDefault="00BC6C9C" w:rsidP="005A39D4">
      <w:pPr>
        <w:pStyle w:val="NoSpacing"/>
        <w:ind w:left="720" w:hanging="720"/>
        <w:rPr>
          <w:rFonts w:ascii="Times New Roman" w:hAnsi="Times New Roman"/>
          <w:sz w:val="24"/>
          <w:szCs w:val="24"/>
          <w:shd w:val="clear" w:color="auto" w:fill="FFFFFF"/>
        </w:rPr>
      </w:pPr>
    </w:p>
    <w:p w14:paraId="143966B5" w14:textId="77777777" w:rsidR="0053181C" w:rsidRPr="005A39D4" w:rsidRDefault="002F35C0" w:rsidP="005A39D4">
      <w:pPr>
        <w:pStyle w:val="NoSpacing"/>
        <w:ind w:left="720" w:hanging="720"/>
        <w:rPr>
          <w:rFonts w:ascii="Times New Roman" w:hAnsi="Times New Roman"/>
          <w:sz w:val="24"/>
          <w:szCs w:val="24"/>
        </w:rPr>
      </w:pPr>
      <w:r w:rsidRPr="005A39D4">
        <w:rPr>
          <w:rFonts w:ascii="Times New Roman" w:hAnsi="Times New Roman"/>
          <w:sz w:val="24"/>
          <w:szCs w:val="24"/>
        </w:rPr>
        <w:t xml:space="preserve">National Center for Education Statistics. (2014). </w:t>
      </w:r>
      <w:r w:rsidRPr="005A39D4">
        <w:rPr>
          <w:rFonts w:ascii="Times New Roman" w:hAnsi="Times New Roman"/>
          <w:i/>
          <w:sz w:val="24"/>
          <w:szCs w:val="24"/>
        </w:rPr>
        <w:t>Public high school 4-year adjusted graduation</w:t>
      </w:r>
      <w:r w:rsidR="000835C8" w:rsidRPr="005A39D4">
        <w:rPr>
          <w:rFonts w:ascii="Times New Roman" w:hAnsi="Times New Roman"/>
          <w:i/>
          <w:sz w:val="24"/>
          <w:szCs w:val="24"/>
        </w:rPr>
        <w:t xml:space="preserve"> </w:t>
      </w:r>
      <w:r w:rsidRPr="005A39D4">
        <w:rPr>
          <w:rFonts w:ascii="Times New Roman" w:hAnsi="Times New Roman"/>
          <w:i/>
          <w:sz w:val="24"/>
          <w:szCs w:val="24"/>
        </w:rPr>
        <w:t>rate by race-ethnicity and selected demographics: 2013-2014.</w:t>
      </w:r>
      <w:r w:rsidRPr="005A39D4">
        <w:rPr>
          <w:rFonts w:ascii="Times New Roman" w:hAnsi="Times New Roman"/>
          <w:sz w:val="24"/>
          <w:szCs w:val="24"/>
        </w:rPr>
        <w:t xml:space="preserve"> Washington, DC: Institute of Education Statistics. Retrieved </w:t>
      </w:r>
      <w:r w:rsidR="000835C8" w:rsidRPr="005A39D4">
        <w:rPr>
          <w:rFonts w:ascii="Times New Roman" w:hAnsi="Times New Roman"/>
          <w:sz w:val="24"/>
          <w:szCs w:val="24"/>
        </w:rPr>
        <w:t xml:space="preserve">from </w:t>
      </w:r>
      <w:hyperlink r:id="rId19" w:history="1">
        <w:r w:rsidR="0053181C" w:rsidRPr="005A39D4">
          <w:rPr>
            <w:rStyle w:val="Hyperlink"/>
            <w:rFonts w:ascii="Times New Roman" w:hAnsi="Times New Roman"/>
            <w:color w:val="auto"/>
            <w:sz w:val="24"/>
            <w:szCs w:val="24"/>
            <w:u w:val="none"/>
          </w:rPr>
          <w:t>https://nces.ed.gov/ccd/tables/ACGR_RE_and_characteristics_2013-14.asp</w:t>
        </w:r>
      </w:hyperlink>
      <w:r w:rsidR="0053181C" w:rsidRPr="005A39D4">
        <w:rPr>
          <w:rFonts w:ascii="Times New Roman" w:hAnsi="Times New Roman"/>
          <w:sz w:val="24"/>
          <w:szCs w:val="24"/>
        </w:rPr>
        <w:t xml:space="preserve"> </w:t>
      </w:r>
    </w:p>
    <w:p w14:paraId="25689D87" w14:textId="77777777" w:rsidR="00BC6C9C" w:rsidRPr="005A39D4" w:rsidRDefault="00BC6C9C" w:rsidP="005A39D4">
      <w:pPr>
        <w:pStyle w:val="NoSpacing"/>
        <w:ind w:left="720" w:hanging="720"/>
        <w:rPr>
          <w:rFonts w:ascii="Times New Roman" w:hAnsi="Times New Roman"/>
          <w:sz w:val="24"/>
          <w:szCs w:val="24"/>
        </w:rPr>
      </w:pPr>
    </w:p>
    <w:p w14:paraId="3970175D" w14:textId="03F8F283" w:rsidR="00BC6C9C" w:rsidRPr="005A39D4" w:rsidRDefault="00BC6C9C" w:rsidP="005A39D4">
      <w:pPr>
        <w:pStyle w:val="NoSpacing"/>
        <w:ind w:left="720" w:hanging="720"/>
        <w:rPr>
          <w:rFonts w:ascii="Times New Roman" w:hAnsi="Times New Roman"/>
          <w:sz w:val="24"/>
          <w:szCs w:val="24"/>
        </w:rPr>
      </w:pPr>
      <w:r w:rsidRPr="005A39D4">
        <w:rPr>
          <w:rFonts w:ascii="Times New Roman" w:hAnsi="Times New Roman"/>
          <w:sz w:val="24"/>
          <w:szCs w:val="24"/>
        </w:rPr>
        <w:t>National Dropout Prevention Center/Network. (</w:t>
      </w:r>
      <w:proofErr w:type="spellStart"/>
      <w:r w:rsidRPr="005A39D4">
        <w:rPr>
          <w:rFonts w:ascii="Times New Roman" w:hAnsi="Times New Roman"/>
          <w:sz w:val="24"/>
          <w:szCs w:val="24"/>
        </w:rPr>
        <w:t>n.d.</w:t>
      </w:r>
      <w:proofErr w:type="spellEnd"/>
      <w:r w:rsidRPr="005A39D4">
        <w:rPr>
          <w:rFonts w:ascii="Times New Roman" w:hAnsi="Times New Roman"/>
          <w:sz w:val="24"/>
          <w:szCs w:val="24"/>
        </w:rPr>
        <w:t xml:space="preserve">) </w:t>
      </w:r>
      <w:r w:rsidRPr="005A39D4">
        <w:rPr>
          <w:rFonts w:ascii="Times New Roman" w:hAnsi="Times New Roman"/>
          <w:i/>
          <w:sz w:val="24"/>
          <w:szCs w:val="24"/>
        </w:rPr>
        <w:t xml:space="preserve">Fifteen effective strategies for dropout prevention. </w:t>
      </w:r>
      <w:r w:rsidRPr="005A39D4">
        <w:rPr>
          <w:rFonts w:ascii="Times New Roman" w:hAnsi="Times New Roman"/>
          <w:sz w:val="24"/>
          <w:szCs w:val="24"/>
        </w:rPr>
        <w:t xml:space="preserve">Clemson, SC: Author. Retrieved from </w:t>
      </w:r>
      <w:hyperlink r:id="rId20" w:history="1">
        <w:r w:rsidRPr="005A39D4">
          <w:rPr>
            <w:rStyle w:val="Hyperlink"/>
            <w:rFonts w:ascii="Times New Roman" w:hAnsi="Times New Roman"/>
            <w:color w:val="auto"/>
            <w:sz w:val="24"/>
            <w:szCs w:val="24"/>
            <w:u w:val="none"/>
          </w:rPr>
          <w:t>http://dropoutprevention.org/wp-content/uploads/2017/06/NDPCN_15_effective_strategies.pdf</w:t>
        </w:r>
      </w:hyperlink>
    </w:p>
    <w:p w14:paraId="1C3D2407" w14:textId="77777777" w:rsidR="00BC6C9C" w:rsidRPr="005A39D4" w:rsidRDefault="00BC6C9C" w:rsidP="005A39D4">
      <w:pPr>
        <w:pStyle w:val="NoSpacing"/>
        <w:ind w:left="720" w:hanging="720"/>
        <w:rPr>
          <w:rFonts w:ascii="Times New Roman" w:hAnsi="Times New Roman"/>
          <w:sz w:val="24"/>
          <w:szCs w:val="24"/>
        </w:rPr>
      </w:pPr>
    </w:p>
    <w:p w14:paraId="3531334B" w14:textId="3943681B" w:rsidR="005A39D4" w:rsidRPr="005A39D4" w:rsidRDefault="006D0379" w:rsidP="005A39D4">
      <w:pPr>
        <w:pStyle w:val="NoSpacing"/>
        <w:ind w:left="720" w:hanging="720"/>
        <w:rPr>
          <w:rStyle w:val="Hyperlink"/>
          <w:rFonts w:ascii="Times New Roman" w:hAnsi="Times New Roman"/>
          <w:color w:val="auto"/>
          <w:sz w:val="24"/>
          <w:szCs w:val="24"/>
          <w:u w:val="none"/>
        </w:rPr>
      </w:pPr>
      <w:proofErr w:type="spellStart"/>
      <w:r w:rsidRPr="005A39D4">
        <w:rPr>
          <w:rFonts w:ascii="Times New Roman" w:hAnsi="Times New Roman"/>
          <w:sz w:val="24"/>
          <w:szCs w:val="24"/>
        </w:rPr>
        <w:t>Reim</w:t>
      </w:r>
      <w:proofErr w:type="spellEnd"/>
      <w:r w:rsidRPr="005A39D4">
        <w:rPr>
          <w:rFonts w:ascii="Times New Roman" w:hAnsi="Times New Roman"/>
          <w:sz w:val="24"/>
          <w:szCs w:val="24"/>
        </w:rPr>
        <w:t>, M. C. “Barriers to high school completion create barriers to economic mobility.” Center</w:t>
      </w:r>
      <w:r w:rsidR="000835C8" w:rsidRPr="005A39D4">
        <w:rPr>
          <w:rFonts w:ascii="Times New Roman" w:hAnsi="Times New Roman"/>
          <w:sz w:val="24"/>
          <w:szCs w:val="24"/>
        </w:rPr>
        <w:t xml:space="preserve"> </w:t>
      </w:r>
      <w:r w:rsidRPr="005A39D4">
        <w:rPr>
          <w:rFonts w:ascii="Times New Roman" w:hAnsi="Times New Roman"/>
          <w:sz w:val="24"/>
          <w:szCs w:val="24"/>
        </w:rPr>
        <w:t>for Policy Innovation Discussion Paper #17 on Education. 15 May 2014.</w:t>
      </w:r>
      <w:r w:rsidR="008665BD" w:rsidRPr="005A39D4">
        <w:rPr>
          <w:rFonts w:ascii="Times New Roman" w:hAnsi="Times New Roman"/>
          <w:sz w:val="24"/>
          <w:szCs w:val="24"/>
        </w:rPr>
        <w:t xml:space="preserve"> </w:t>
      </w:r>
      <w:r w:rsidR="005A39D4">
        <w:rPr>
          <w:rFonts w:ascii="Times New Roman" w:hAnsi="Times New Roman"/>
          <w:sz w:val="24"/>
          <w:szCs w:val="24"/>
        </w:rPr>
        <w:t xml:space="preserve">Retrieved from </w:t>
      </w:r>
      <w:hyperlink r:id="rId21" w:history="1">
        <w:r w:rsidR="005A39D4" w:rsidRPr="005A39D4">
          <w:rPr>
            <w:rStyle w:val="Hyperlink"/>
            <w:rFonts w:ascii="Times New Roman" w:hAnsi="Times New Roman"/>
            <w:color w:val="auto"/>
            <w:sz w:val="24"/>
            <w:szCs w:val="24"/>
            <w:u w:val="none"/>
          </w:rPr>
          <w:t>http://thf_media.s3.amazonaws.com/2014/pdf/CPI_DP17.pdf</w:t>
        </w:r>
      </w:hyperlink>
    </w:p>
    <w:p w14:paraId="073BA84D" w14:textId="77777777" w:rsidR="008665BD" w:rsidRPr="005A39D4" w:rsidRDefault="008665BD" w:rsidP="005A39D4">
      <w:pPr>
        <w:pStyle w:val="NoSpacing"/>
        <w:ind w:left="720" w:hanging="720"/>
        <w:rPr>
          <w:rFonts w:ascii="Times New Roman" w:hAnsi="Times New Roman"/>
          <w:sz w:val="24"/>
          <w:szCs w:val="24"/>
        </w:rPr>
      </w:pPr>
    </w:p>
    <w:p w14:paraId="472C081E" w14:textId="3D8C029D" w:rsidR="004E3B47" w:rsidRPr="005A39D4" w:rsidRDefault="00B32575" w:rsidP="005A39D4">
      <w:pPr>
        <w:pStyle w:val="NoSpacing"/>
        <w:ind w:left="720" w:hanging="720"/>
        <w:rPr>
          <w:rFonts w:ascii="Times New Roman" w:hAnsi="Times New Roman"/>
          <w:sz w:val="24"/>
          <w:szCs w:val="24"/>
        </w:rPr>
      </w:pPr>
      <w:r w:rsidRPr="005A39D4">
        <w:rPr>
          <w:rFonts w:ascii="Times New Roman" w:hAnsi="Times New Roman"/>
          <w:sz w:val="24"/>
          <w:szCs w:val="24"/>
          <w:lang w:val="de-DE"/>
        </w:rPr>
        <w:t xml:space="preserve">Smink, J., &amp; Schargel, F. P. (2004). </w:t>
      </w:r>
      <w:r w:rsidRPr="005A39D4">
        <w:rPr>
          <w:rFonts w:ascii="Times New Roman" w:hAnsi="Times New Roman"/>
          <w:i/>
          <w:sz w:val="24"/>
          <w:szCs w:val="24"/>
        </w:rPr>
        <w:t xml:space="preserve">Helping students graduate: </w:t>
      </w:r>
      <w:r w:rsidR="00C52762" w:rsidRPr="005A39D4">
        <w:rPr>
          <w:rFonts w:ascii="Times New Roman" w:hAnsi="Times New Roman"/>
          <w:i/>
          <w:sz w:val="24"/>
          <w:szCs w:val="24"/>
        </w:rPr>
        <w:t xml:space="preserve">A strategic approach to </w:t>
      </w:r>
      <w:proofErr w:type="spellStart"/>
      <w:r w:rsidR="00C52762" w:rsidRPr="005A39D4">
        <w:rPr>
          <w:rFonts w:ascii="Times New Roman" w:hAnsi="Times New Roman"/>
          <w:i/>
          <w:sz w:val="24"/>
          <w:szCs w:val="24"/>
        </w:rPr>
        <w:t>dropout</w:t>
      </w:r>
      <w:r w:rsidRPr="005A39D4">
        <w:rPr>
          <w:rFonts w:ascii="Times New Roman" w:hAnsi="Times New Roman"/>
          <w:i/>
          <w:sz w:val="24"/>
          <w:szCs w:val="24"/>
        </w:rPr>
        <w:t>prevention</w:t>
      </w:r>
      <w:proofErr w:type="spellEnd"/>
      <w:r w:rsidRPr="005A39D4">
        <w:rPr>
          <w:rFonts w:ascii="Times New Roman" w:hAnsi="Times New Roman"/>
          <w:sz w:val="24"/>
          <w:szCs w:val="24"/>
        </w:rPr>
        <w:t>. Larchmont, NY: Eye on Education.</w:t>
      </w:r>
    </w:p>
    <w:p w14:paraId="2902D35C" w14:textId="77777777" w:rsidR="00F212A7" w:rsidRPr="005A39D4" w:rsidRDefault="00F212A7" w:rsidP="005A39D4">
      <w:pPr>
        <w:pStyle w:val="NoSpacing"/>
        <w:ind w:left="720" w:hanging="720"/>
        <w:rPr>
          <w:rFonts w:ascii="Times New Roman" w:hAnsi="Times New Roman"/>
          <w:sz w:val="24"/>
          <w:szCs w:val="24"/>
        </w:rPr>
      </w:pPr>
    </w:p>
    <w:p w14:paraId="389EEC1B" w14:textId="146ED3F0" w:rsidR="00466A83" w:rsidRDefault="00466A83" w:rsidP="00466A83">
      <w:pPr>
        <w:pStyle w:val="BodyText"/>
      </w:pPr>
    </w:p>
    <w:p w14:paraId="0620C45A" w14:textId="77777777" w:rsidR="00D50DD0" w:rsidRDefault="00D50DD0" w:rsidP="00466A83">
      <w:pPr>
        <w:pStyle w:val="BodyText"/>
        <w:sectPr w:rsidR="00D50DD0" w:rsidSect="001F5CA7">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pgNumType w:start="0"/>
          <w:cols w:space="720"/>
          <w:titlePg/>
          <w:docGrid w:linePitch="360"/>
        </w:sectPr>
      </w:pPr>
    </w:p>
    <w:p w14:paraId="60A15372" w14:textId="77777777" w:rsidR="00D50DD0" w:rsidRDefault="00D50DD0" w:rsidP="00466A83">
      <w:pPr>
        <w:pStyle w:val="BodyText"/>
      </w:pPr>
    </w:p>
    <w:p w14:paraId="39056DE6" w14:textId="77777777" w:rsidR="00D50DD0" w:rsidRDefault="00D50DD0" w:rsidP="00466A83">
      <w:pPr>
        <w:pStyle w:val="BodyText"/>
      </w:pPr>
    </w:p>
    <w:sectPr w:rsidR="00D50DD0" w:rsidSect="001F5CA7">
      <w:headerReference w:type="default" r:id="rId27"/>
      <w:footerReference w:type="default" r:id="rId28"/>
      <w:headerReference w:type="first" r:id="rId29"/>
      <w:footerReference w:type="first" r:id="rId3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300D" w14:textId="77777777" w:rsidR="00AC5A45" w:rsidRDefault="00AC5A45" w:rsidP="00706348">
      <w:r>
        <w:separator/>
      </w:r>
    </w:p>
  </w:endnote>
  <w:endnote w:type="continuationSeparator" w:id="0">
    <w:p w14:paraId="765D1E53" w14:textId="77777777" w:rsidR="00AC5A45" w:rsidRDefault="00AC5A45" w:rsidP="0070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icrosoft JhengHei Light">
    <w:altName w:val="Microsoft JhengHei"/>
    <w:charset w:val="88"/>
    <w:family w:val="swiss"/>
    <w:pitch w:val="variable"/>
    <w:sig w:usb0="00000000"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Trade Gothic LT Std">
    <w:altName w:val="Trade Gothic LT Std"/>
    <w:panose1 w:val="00000500000000000000"/>
    <w:charset w:val="00"/>
    <w:family w:val="modern"/>
    <w:notTrueType/>
    <w:pitch w:val="variable"/>
    <w:sig w:usb0="800000AF" w:usb1="4000204A" w:usb2="0000000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9449" w14:textId="77777777" w:rsidR="00741E08" w:rsidRPr="00741E08" w:rsidRDefault="00741E08" w:rsidP="00B01A23">
    <w:pPr>
      <w:pStyle w:val="Footer"/>
      <w:jc w:val="center"/>
      <w:rPr>
        <w:rFonts w:ascii="Trade Gothic LT Std" w:hAnsi="Trade Gothic LT Std"/>
        <w:i w:val="0"/>
        <w:sz w:val="20"/>
        <w:szCs w:val="20"/>
      </w:rPr>
    </w:pPr>
    <w:r w:rsidRPr="00741E08">
      <w:rPr>
        <w:rFonts w:ascii="Trade Gothic LT Std" w:hAnsi="Trade Gothic LT Std"/>
        <w:i w:val="0"/>
        <w:sz w:val="20"/>
        <w:szCs w:val="20"/>
      </w:rPr>
      <w:t>National Dropout Prevention Center/Network</w:t>
    </w:r>
  </w:p>
  <w:p w14:paraId="29DC8D76" w14:textId="77777777" w:rsidR="00741E08" w:rsidRPr="00741E08" w:rsidRDefault="00741E08" w:rsidP="00B01A23">
    <w:pPr>
      <w:pStyle w:val="Footer"/>
      <w:jc w:val="center"/>
      <w:rPr>
        <w:rFonts w:ascii="Trade Gothic LT Std" w:hAnsi="Trade Gothic LT Std"/>
        <w:bCs/>
        <w:i w:val="0"/>
        <w:sz w:val="20"/>
        <w:szCs w:val="20"/>
      </w:rPr>
    </w:pPr>
    <w:r w:rsidRPr="00741E08">
      <w:rPr>
        <w:rFonts w:ascii="Trade Gothic LT Std" w:hAnsi="Trade Gothic LT Std"/>
        <w:i w:val="0"/>
        <w:sz w:val="20"/>
        <w:szCs w:val="20"/>
      </w:rPr>
      <w:t xml:space="preserve">209 Martin Street • Clemson, SC 29631 • </w:t>
    </w:r>
    <w:r w:rsidRPr="00741E08">
      <w:rPr>
        <w:rFonts w:ascii="Trade Gothic LT Std" w:hAnsi="Trade Gothic LT Std"/>
        <w:bCs/>
        <w:i w:val="0"/>
        <w:sz w:val="20"/>
        <w:szCs w:val="20"/>
      </w:rPr>
      <w:t>864-656-2599</w:t>
    </w:r>
  </w:p>
  <w:p w14:paraId="0D2BB2A6" w14:textId="77777777" w:rsidR="00741E08" w:rsidRPr="00741E08" w:rsidRDefault="00741E08" w:rsidP="00250EA1">
    <w:pPr>
      <w:pStyle w:val="Footer"/>
      <w:jc w:val="center"/>
      <w:rPr>
        <w:rFonts w:ascii="Trade Gothic LT Std" w:hAnsi="Trade Gothic LT Std"/>
        <w:i w:val="0"/>
        <w:sz w:val="20"/>
        <w:szCs w:val="20"/>
      </w:rPr>
    </w:pPr>
    <w:r w:rsidRPr="00741E08">
      <w:rPr>
        <w:rFonts w:ascii="Trade Gothic LT Std" w:hAnsi="Trade Gothic LT Std"/>
        <w:i w:val="0"/>
        <w:sz w:val="20"/>
        <w:szCs w:val="20"/>
      </w:rPr>
      <w:t>ndpc@clemson.edu • www.dropoutprevention.org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BEDA" w14:textId="1DA72E4D" w:rsidR="00BF4549" w:rsidRDefault="00BF4549" w:rsidP="001F5CA7">
    <w:pPr>
      <w:pStyle w:val="Footer"/>
      <w:tabs>
        <w:tab w:val="clear" w:pos="8640"/>
        <w:tab w:val="right" w:pos="9360"/>
      </w:tabs>
      <w:ind w:right="0"/>
    </w:pPr>
    <w:r w:rsidRPr="003B7B1E">
      <w:rPr>
        <w:rFonts w:asciiTheme="majorHAnsi" w:hAnsiTheme="majorHAnsi"/>
      </w:rPr>
      <w:t>The Rural Principal’s Guide to Dropout Prevention</w:t>
    </w:r>
    <w:r w:rsidRPr="005A39D4">
      <w:rPr>
        <w:rStyle w:val="PageNumber"/>
        <w:rFonts w:asciiTheme="majorHAnsi" w:hAnsiTheme="majorHAnsi"/>
        <w:i w:val="0"/>
      </w:rPr>
      <w:t xml:space="preserve"> </w:t>
    </w:r>
    <w:r>
      <w:rPr>
        <w:rStyle w:val="PageNumber"/>
        <w:rFonts w:asciiTheme="majorHAnsi" w:hAnsiTheme="majorHAnsi"/>
        <w:i w:val="0"/>
      </w:rPr>
      <w:tab/>
    </w:r>
    <w:r w:rsidRPr="005A39D4">
      <w:rPr>
        <w:rStyle w:val="PageNumber"/>
        <w:rFonts w:asciiTheme="majorHAnsi" w:hAnsiTheme="majorHAnsi"/>
        <w:i w:val="0"/>
      </w:rPr>
      <w:fldChar w:fldCharType="begin"/>
    </w:r>
    <w:r w:rsidRPr="005A39D4">
      <w:rPr>
        <w:rStyle w:val="PageNumber"/>
        <w:rFonts w:asciiTheme="majorHAnsi" w:hAnsiTheme="majorHAnsi"/>
        <w:i w:val="0"/>
      </w:rPr>
      <w:instrText xml:space="preserve">PAGE  </w:instrText>
    </w:r>
    <w:r w:rsidRPr="005A39D4">
      <w:rPr>
        <w:rStyle w:val="PageNumber"/>
        <w:rFonts w:asciiTheme="majorHAnsi" w:hAnsiTheme="majorHAnsi"/>
        <w:i w:val="0"/>
      </w:rPr>
      <w:fldChar w:fldCharType="separate"/>
    </w:r>
    <w:r w:rsidR="00562687">
      <w:rPr>
        <w:rStyle w:val="PageNumber"/>
        <w:rFonts w:asciiTheme="majorHAnsi" w:hAnsiTheme="majorHAnsi"/>
        <w:i w:val="0"/>
        <w:noProof/>
      </w:rPr>
      <w:t>2</w:t>
    </w:r>
    <w:r w:rsidRPr="005A39D4">
      <w:rPr>
        <w:rStyle w:val="PageNumber"/>
        <w:rFonts w:asciiTheme="majorHAnsi" w:hAnsiTheme="majorHAnsi"/>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62BA" w14:textId="77777777" w:rsidR="00BF4549" w:rsidRPr="005A39D4" w:rsidRDefault="00BF4549" w:rsidP="002C46B2">
    <w:pPr>
      <w:pStyle w:val="Footer"/>
      <w:tabs>
        <w:tab w:val="clear" w:pos="8640"/>
        <w:tab w:val="right" w:pos="9360"/>
      </w:tabs>
      <w:ind w:right="0"/>
      <w:rPr>
        <w:rFonts w:asciiTheme="majorHAnsi" w:hAnsiTheme="majorHAnsi"/>
        <w:i w:val="0"/>
      </w:rPr>
    </w:pPr>
    <w:r w:rsidRPr="003B7B1E">
      <w:rPr>
        <w:rFonts w:asciiTheme="majorHAnsi" w:hAnsiTheme="majorHAnsi"/>
      </w:rPr>
      <w:t>The Rural Principal’s Guide to Dropout Prevention</w:t>
    </w:r>
    <w:r>
      <w:rPr>
        <w:rFonts w:asciiTheme="majorHAnsi" w:hAnsiTheme="majorHAnsi"/>
      </w:rPr>
      <w:tab/>
    </w:r>
    <w:r w:rsidRPr="005A39D4">
      <w:rPr>
        <w:rStyle w:val="PageNumber"/>
        <w:rFonts w:asciiTheme="majorHAnsi" w:hAnsiTheme="majorHAnsi"/>
        <w:i w:val="0"/>
      </w:rPr>
      <w:fldChar w:fldCharType="begin"/>
    </w:r>
    <w:r w:rsidRPr="005A39D4">
      <w:rPr>
        <w:rStyle w:val="PageNumber"/>
        <w:rFonts w:asciiTheme="majorHAnsi" w:hAnsiTheme="majorHAnsi"/>
        <w:i w:val="0"/>
      </w:rPr>
      <w:instrText xml:space="preserve">PAGE  </w:instrText>
    </w:r>
    <w:r w:rsidRPr="005A39D4">
      <w:rPr>
        <w:rStyle w:val="PageNumber"/>
        <w:rFonts w:asciiTheme="majorHAnsi" w:hAnsiTheme="majorHAnsi"/>
        <w:i w:val="0"/>
      </w:rPr>
      <w:fldChar w:fldCharType="separate"/>
    </w:r>
    <w:r w:rsidR="00562687">
      <w:rPr>
        <w:rStyle w:val="PageNumber"/>
        <w:rFonts w:asciiTheme="majorHAnsi" w:hAnsiTheme="majorHAnsi"/>
        <w:i w:val="0"/>
        <w:noProof/>
      </w:rPr>
      <w:t>1</w:t>
    </w:r>
    <w:r w:rsidRPr="005A39D4">
      <w:rPr>
        <w:rStyle w:val="PageNumber"/>
        <w:rFonts w:asciiTheme="majorHAnsi" w:hAnsiTheme="majorHAnsi"/>
        <w:i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E214" w14:textId="6C2F8477" w:rsidR="002050BE" w:rsidRPr="003B7B1E" w:rsidRDefault="00BF4549" w:rsidP="00BF4549">
    <w:pPr>
      <w:tabs>
        <w:tab w:val="center" w:pos="9270"/>
      </w:tabs>
      <w:rPr>
        <w:rFonts w:asciiTheme="majorHAnsi" w:hAnsiTheme="majorHAnsi"/>
        <w:sz w:val="20"/>
        <w:szCs w:val="20"/>
      </w:rPr>
    </w:pPr>
    <w:r w:rsidRPr="002050BE">
      <w:rPr>
        <w:rFonts w:asciiTheme="majorHAnsi" w:hAnsiTheme="majorHAnsi"/>
        <w:i/>
      </w:rPr>
      <w:t>The Rural Principal’s Guide to Dropout Prevention</w:t>
    </w:r>
    <w:r>
      <w:rPr>
        <w:rFonts w:asciiTheme="majorHAnsi" w:hAnsiTheme="majorHAnsi"/>
        <w:sz w:val="22"/>
      </w:rPr>
      <w:t xml:space="preserve"> </w:t>
    </w:r>
    <w:r>
      <w:rPr>
        <w:rFonts w:asciiTheme="majorHAnsi" w:hAnsiTheme="majorHAnsi"/>
        <w:sz w:val="22"/>
      </w:rPr>
      <w:tab/>
    </w:r>
    <w:proofErr w:type="spellStart"/>
    <w:r>
      <w:rPr>
        <w:rFonts w:asciiTheme="majorHAnsi" w:hAnsiTheme="majorHAnsi"/>
        <w:sz w:val="22"/>
      </w:rPr>
      <w:t>i</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EBB4" w14:textId="4B23F257" w:rsidR="00D50DD0" w:rsidRDefault="00D50DD0" w:rsidP="00D50DD0">
    <w:pPr>
      <w:pStyle w:val="Footer"/>
      <w:jc w:val="center"/>
      <w:rPr>
        <w:rFonts w:ascii="Trade Gothic LT Std" w:eastAsia="MS Mincho" w:hAnsi="Trade Gothic LT Std"/>
        <w:i w:val="0"/>
        <w:sz w:val="20"/>
        <w:szCs w:val="20"/>
      </w:rPr>
    </w:pPr>
    <w:r>
      <w:rPr>
        <w:rFonts w:ascii="Calibri Light" w:hAnsi="Calibri Light"/>
        <w:noProof/>
        <w:color w:val="000000" w:themeColor="text1"/>
      </w:rPr>
      <w:drawing>
        <wp:inline distT="0" distB="0" distL="0" distR="0" wp14:anchorId="1513D422" wp14:editId="380FA46E">
          <wp:extent cx="695960" cy="7505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50570"/>
                  </a:xfrm>
                  <a:prstGeom prst="rect">
                    <a:avLst/>
                  </a:prstGeom>
                  <a:noFill/>
                  <a:ln>
                    <a:noFill/>
                  </a:ln>
                </pic:spPr>
              </pic:pic>
            </a:graphicData>
          </a:graphic>
        </wp:inline>
      </w:drawing>
    </w:r>
  </w:p>
  <w:p w14:paraId="75081993" w14:textId="77777777" w:rsidR="00D50DD0" w:rsidRDefault="00D50DD0" w:rsidP="00D50DD0">
    <w:pPr>
      <w:pStyle w:val="Footer"/>
      <w:jc w:val="center"/>
      <w:rPr>
        <w:rFonts w:ascii="Trade Gothic LT Std" w:hAnsi="Trade Gothic LT Std"/>
        <w:i w:val="0"/>
        <w:sz w:val="20"/>
        <w:szCs w:val="20"/>
      </w:rPr>
    </w:pPr>
    <w:r>
      <w:rPr>
        <w:rFonts w:ascii="Trade Gothic LT Std" w:hAnsi="Trade Gothic LT Std"/>
        <w:i w:val="0"/>
        <w:sz w:val="20"/>
        <w:szCs w:val="20"/>
      </w:rPr>
      <w:t>National Dropout Prevention Center/Network</w:t>
    </w:r>
  </w:p>
  <w:p w14:paraId="52CA1DA7" w14:textId="77777777" w:rsidR="00D50DD0" w:rsidRDefault="00D50DD0" w:rsidP="00D50DD0">
    <w:pPr>
      <w:pStyle w:val="Footer"/>
      <w:jc w:val="center"/>
      <w:rPr>
        <w:rFonts w:ascii="Trade Gothic LT Std" w:hAnsi="Trade Gothic LT Std"/>
        <w:bCs/>
        <w:i w:val="0"/>
        <w:sz w:val="20"/>
        <w:szCs w:val="20"/>
      </w:rPr>
    </w:pPr>
    <w:r>
      <w:rPr>
        <w:rFonts w:ascii="Trade Gothic LT Std" w:hAnsi="Trade Gothic LT Std"/>
        <w:i w:val="0"/>
        <w:sz w:val="20"/>
        <w:szCs w:val="20"/>
      </w:rPr>
      <w:t xml:space="preserve">209 Martin Street • Clemson, SC 29631 • </w:t>
    </w:r>
    <w:r>
      <w:rPr>
        <w:rFonts w:ascii="Trade Gothic LT Std" w:hAnsi="Trade Gothic LT Std"/>
        <w:bCs/>
        <w:i w:val="0"/>
        <w:sz w:val="20"/>
        <w:szCs w:val="20"/>
      </w:rPr>
      <w:t>864-656-2599</w:t>
    </w:r>
  </w:p>
  <w:p w14:paraId="12001B48" w14:textId="3D14E067" w:rsidR="00D50DD0" w:rsidRPr="00D50DD0" w:rsidRDefault="00D50DD0" w:rsidP="00D50DD0">
    <w:pPr>
      <w:pStyle w:val="Footer"/>
      <w:jc w:val="center"/>
      <w:rPr>
        <w:rFonts w:ascii="Trade Gothic LT Std" w:hAnsi="Trade Gothic LT Std"/>
        <w:i w:val="0"/>
        <w:sz w:val="20"/>
        <w:szCs w:val="20"/>
      </w:rPr>
    </w:pPr>
    <w:r>
      <w:rPr>
        <w:rFonts w:ascii="Trade Gothic LT Std" w:hAnsi="Trade Gothic LT Std"/>
        <w:i w:val="0"/>
        <w:sz w:val="20"/>
        <w:szCs w:val="20"/>
      </w:rPr>
      <w:t>ndpc@clemson.edu • www.dropoutprevention.org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26C4" w14:textId="77777777" w:rsidR="00D50DD0" w:rsidRDefault="00D50DD0" w:rsidP="00D50DD0">
    <w:pPr>
      <w:pStyle w:val="Footer"/>
      <w:jc w:val="center"/>
      <w:rPr>
        <w:rFonts w:ascii="Trade Gothic LT Std" w:eastAsia="MS Mincho" w:hAnsi="Trade Gothic LT Std"/>
        <w:i w:val="0"/>
        <w:sz w:val="20"/>
        <w:szCs w:val="20"/>
      </w:rPr>
    </w:pPr>
    <w:r>
      <w:rPr>
        <w:rFonts w:ascii="Calibri Light" w:hAnsi="Calibri Light"/>
        <w:noProof/>
        <w:color w:val="000000" w:themeColor="text1"/>
      </w:rPr>
      <w:drawing>
        <wp:inline distT="0" distB="0" distL="0" distR="0" wp14:anchorId="02889972" wp14:editId="4D736EE6">
          <wp:extent cx="695960" cy="7505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50570"/>
                  </a:xfrm>
                  <a:prstGeom prst="rect">
                    <a:avLst/>
                  </a:prstGeom>
                  <a:noFill/>
                  <a:ln>
                    <a:noFill/>
                  </a:ln>
                </pic:spPr>
              </pic:pic>
            </a:graphicData>
          </a:graphic>
        </wp:inline>
      </w:drawing>
    </w:r>
  </w:p>
  <w:p w14:paraId="35A1102F" w14:textId="77777777" w:rsidR="00D50DD0" w:rsidRDefault="00D50DD0" w:rsidP="00D50DD0">
    <w:pPr>
      <w:pStyle w:val="Footer"/>
      <w:jc w:val="center"/>
      <w:rPr>
        <w:rFonts w:ascii="Trade Gothic LT Std" w:hAnsi="Trade Gothic LT Std"/>
        <w:i w:val="0"/>
        <w:sz w:val="20"/>
        <w:szCs w:val="20"/>
      </w:rPr>
    </w:pPr>
    <w:r>
      <w:rPr>
        <w:rFonts w:ascii="Trade Gothic LT Std" w:hAnsi="Trade Gothic LT Std"/>
        <w:i w:val="0"/>
        <w:sz w:val="20"/>
        <w:szCs w:val="20"/>
      </w:rPr>
      <w:t>National Dropout Prevention Center/Network</w:t>
    </w:r>
  </w:p>
  <w:p w14:paraId="7EF6B2F6" w14:textId="77777777" w:rsidR="00D50DD0" w:rsidRDefault="00D50DD0" w:rsidP="00D50DD0">
    <w:pPr>
      <w:pStyle w:val="Footer"/>
      <w:jc w:val="center"/>
      <w:rPr>
        <w:rFonts w:ascii="Trade Gothic LT Std" w:hAnsi="Trade Gothic LT Std"/>
        <w:bCs/>
        <w:i w:val="0"/>
        <w:sz w:val="20"/>
        <w:szCs w:val="20"/>
      </w:rPr>
    </w:pPr>
    <w:r>
      <w:rPr>
        <w:rFonts w:ascii="Trade Gothic LT Std" w:hAnsi="Trade Gothic LT Std"/>
        <w:i w:val="0"/>
        <w:sz w:val="20"/>
        <w:szCs w:val="20"/>
      </w:rPr>
      <w:t xml:space="preserve">209 Martin Street • Clemson, SC 29631 • </w:t>
    </w:r>
    <w:r>
      <w:rPr>
        <w:rFonts w:ascii="Trade Gothic LT Std" w:hAnsi="Trade Gothic LT Std"/>
        <w:bCs/>
        <w:i w:val="0"/>
        <w:sz w:val="20"/>
        <w:szCs w:val="20"/>
      </w:rPr>
      <w:t>864-656-2599</w:t>
    </w:r>
  </w:p>
  <w:p w14:paraId="6AA42E4A" w14:textId="60724825" w:rsidR="00D50DD0" w:rsidRPr="00D50DD0" w:rsidRDefault="00D50DD0" w:rsidP="00D50DD0">
    <w:pPr>
      <w:pStyle w:val="Footer"/>
      <w:jc w:val="center"/>
      <w:rPr>
        <w:rFonts w:ascii="Trade Gothic LT Std" w:hAnsi="Trade Gothic LT Std"/>
        <w:i w:val="0"/>
        <w:sz w:val="20"/>
        <w:szCs w:val="20"/>
      </w:rPr>
    </w:pPr>
    <w:r>
      <w:rPr>
        <w:rFonts w:ascii="Trade Gothic LT Std" w:hAnsi="Trade Gothic LT Std"/>
        <w:i w:val="0"/>
        <w:sz w:val="20"/>
        <w:szCs w:val="20"/>
      </w:rPr>
      <w:t>ndpc@clemson.edu • www.dropoutprevention.org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47D9" w14:textId="77777777" w:rsidR="00AC5A45" w:rsidRDefault="00AC5A45" w:rsidP="00706348">
      <w:r>
        <w:separator/>
      </w:r>
    </w:p>
  </w:footnote>
  <w:footnote w:type="continuationSeparator" w:id="0">
    <w:p w14:paraId="4A032623" w14:textId="77777777" w:rsidR="00AC5A45" w:rsidRDefault="00AC5A45" w:rsidP="00706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E5FF" w14:textId="77777777" w:rsidR="00A6539C" w:rsidRPr="00A6539C" w:rsidRDefault="00A6539C" w:rsidP="00A6539C">
    <w:pPr>
      <w:pStyle w:val="Header"/>
      <w:ind w:left="-432"/>
      <w:jc w:val="right"/>
      <w:rPr>
        <w:rFonts w:ascii="Calibri Light" w:hAnsi="Calibri Light"/>
        <w:sz w:val="22"/>
        <w:szCs w:val="22"/>
      </w:rPr>
    </w:pPr>
    <w:r w:rsidRPr="00A6539C">
      <w:rPr>
        <w:rFonts w:ascii="Calibri Light" w:hAnsi="Calibri Light"/>
        <w:noProof/>
        <w:sz w:val="22"/>
        <w:szCs w:val="22"/>
      </w:rPr>
      <w:drawing>
        <wp:anchor distT="0" distB="0" distL="114300" distR="114300" simplePos="0" relativeHeight="251661312" behindDoc="0" locked="0" layoutInCell="1" allowOverlap="1" wp14:anchorId="280829D3" wp14:editId="6F9A211A">
          <wp:simplePos x="0" y="0"/>
          <wp:positionH relativeFrom="column">
            <wp:posOffset>4187727</wp:posOffset>
          </wp:positionH>
          <wp:positionV relativeFrom="paragraph">
            <wp:posOffset>109855</wp:posOffset>
          </wp:positionV>
          <wp:extent cx="2010128" cy="6400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CN-SpelledOut-FlushLeft____ORIGINAL_NewPantoneSavedForMicrosoftOffice.png"/>
                  <pic:cNvPicPr/>
                </pic:nvPicPr>
                <pic:blipFill>
                  <a:blip r:embed="rId1">
                    <a:extLst>
                      <a:ext uri="{28A0092B-C50C-407E-A947-70E740481C1C}">
                        <a14:useLocalDpi xmlns:a14="http://schemas.microsoft.com/office/drawing/2010/main" val="0"/>
                      </a:ext>
                    </a:extLst>
                  </a:blip>
                  <a:stretch>
                    <a:fillRect/>
                  </a:stretch>
                </pic:blipFill>
                <pic:spPr>
                  <a:xfrm>
                    <a:off x="0" y="0"/>
                    <a:ext cx="2010128" cy="640080"/>
                  </a:xfrm>
                  <a:prstGeom prst="rect">
                    <a:avLst/>
                  </a:prstGeom>
                </pic:spPr>
              </pic:pic>
            </a:graphicData>
          </a:graphic>
          <wp14:sizeRelH relativeFrom="page">
            <wp14:pctWidth>0</wp14:pctWidth>
          </wp14:sizeRelH>
          <wp14:sizeRelV relativeFrom="page">
            <wp14:pctHeight>0</wp14:pctHeight>
          </wp14:sizeRelV>
        </wp:anchor>
      </w:drawing>
    </w:r>
  </w:p>
  <w:p w14:paraId="2537332B" w14:textId="77777777" w:rsidR="00A6539C" w:rsidRPr="00A6539C" w:rsidRDefault="00A6539C" w:rsidP="00A6539C">
    <w:pPr>
      <w:pStyle w:val="Header"/>
      <w:ind w:left="-432"/>
      <w:jc w:val="right"/>
      <w:rPr>
        <w:rFonts w:ascii="Calibri Light" w:hAnsi="Calibri Light"/>
        <w:sz w:val="22"/>
        <w:szCs w:val="22"/>
      </w:rPr>
    </w:pPr>
  </w:p>
  <w:p w14:paraId="51B2AFB1" w14:textId="77777777" w:rsidR="00A6539C" w:rsidRPr="00A6539C" w:rsidRDefault="00A6539C" w:rsidP="00A6539C">
    <w:pPr>
      <w:pStyle w:val="Header"/>
      <w:ind w:left="-432"/>
      <w:jc w:val="right"/>
      <w:rPr>
        <w:rFonts w:ascii="Calibri Light" w:hAnsi="Calibri Light"/>
        <w:sz w:val="22"/>
        <w:szCs w:val="22"/>
      </w:rPr>
    </w:pPr>
  </w:p>
  <w:p w14:paraId="4F0B068C" w14:textId="77777777" w:rsidR="00A6539C" w:rsidRPr="00A6539C" w:rsidRDefault="00A6539C" w:rsidP="00A6539C">
    <w:pPr>
      <w:pStyle w:val="Header"/>
      <w:ind w:left="-432"/>
      <w:jc w:val="right"/>
      <w:rPr>
        <w:rFonts w:ascii="Calibri Light" w:hAnsi="Calibri Light"/>
        <w:sz w:val="22"/>
        <w:szCs w:val="22"/>
      </w:rPr>
    </w:pPr>
  </w:p>
  <w:p w14:paraId="7506FC40" w14:textId="77777777" w:rsidR="00A6539C" w:rsidRPr="00A6539C" w:rsidRDefault="00A6539C" w:rsidP="00A6539C">
    <w:pPr>
      <w:pStyle w:val="Header"/>
      <w:ind w:left="-432"/>
      <w:jc w:val="right"/>
      <w:rPr>
        <w:rFonts w:ascii="Calibri Light" w:hAnsi="Calibri Light"/>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2827" w14:textId="76E0448B" w:rsidR="00BF4549" w:rsidRPr="00F46E15" w:rsidRDefault="00BF4549" w:rsidP="00BF4549">
    <w:pPr>
      <w:pStyle w:val="Header"/>
      <w:rPr>
        <w:rFonts w:ascii="Times New Roman" w:hAnsi="Times New Roman"/>
        <w:sz w:val="20"/>
        <w:szCs w:val="20"/>
      </w:rPr>
    </w:pPr>
    <w:r w:rsidRPr="003B7B1E">
      <w:rPr>
        <w:rFonts w:asciiTheme="majorHAnsi" w:hAnsiTheme="majorHAnsi" w:cs="Times New Roman"/>
        <w:sz w:val="22"/>
        <w:szCs w:val="22"/>
      </w:rPr>
      <w:t>National Dropout Prevention Center/Network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97C0" w14:textId="1F081A3A" w:rsidR="00BF4549" w:rsidRPr="00A6539C" w:rsidRDefault="00BF4549" w:rsidP="00BF4549">
    <w:pPr>
      <w:pStyle w:val="Header"/>
      <w:rPr>
        <w:rFonts w:ascii="Calibri Light" w:hAnsi="Calibri Light"/>
        <w:sz w:val="22"/>
        <w:szCs w:val="22"/>
      </w:rPr>
    </w:pPr>
    <w:r w:rsidRPr="003B7B1E">
      <w:rPr>
        <w:rFonts w:asciiTheme="majorHAnsi" w:hAnsiTheme="majorHAnsi" w:cs="Times New Roman"/>
        <w:sz w:val="22"/>
        <w:szCs w:val="22"/>
      </w:rPr>
      <w:t>National Dropout Prevention Center/Network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1ED3" w14:textId="3DB96E74" w:rsidR="00D50DD0" w:rsidRPr="00D50DD0" w:rsidRDefault="00D50DD0" w:rsidP="00D50D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18CB" w14:textId="0DCF1DE7" w:rsidR="00D50DD0" w:rsidRPr="00D50DD0" w:rsidRDefault="00D50DD0" w:rsidP="00D50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54E6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AACA4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DF28E0"/>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242D"/>
    <w:multiLevelType w:val="hybridMultilevel"/>
    <w:tmpl w:val="2E9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659E"/>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126DC"/>
    <w:multiLevelType w:val="hybridMultilevel"/>
    <w:tmpl w:val="EC3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5350"/>
    <w:multiLevelType w:val="hybridMultilevel"/>
    <w:tmpl w:val="80BC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930F9"/>
    <w:multiLevelType w:val="hybridMultilevel"/>
    <w:tmpl w:val="EE6A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B1FAE"/>
    <w:multiLevelType w:val="hybridMultilevel"/>
    <w:tmpl w:val="C562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776FE"/>
    <w:multiLevelType w:val="hybridMultilevel"/>
    <w:tmpl w:val="7D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759AC"/>
    <w:multiLevelType w:val="hybridMultilevel"/>
    <w:tmpl w:val="6D2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81EFE"/>
    <w:multiLevelType w:val="hybridMultilevel"/>
    <w:tmpl w:val="70E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25E01"/>
    <w:multiLevelType w:val="hybridMultilevel"/>
    <w:tmpl w:val="66E8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071FD"/>
    <w:multiLevelType w:val="hybridMultilevel"/>
    <w:tmpl w:val="11F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1"/>
  </w:num>
  <w:num w:numId="6">
    <w:abstractNumId w:val="7"/>
  </w:num>
  <w:num w:numId="7">
    <w:abstractNumId w:val="4"/>
  </w:num>
  <w:num w:numId="8">
    <w:abstractNumId w:val="10"/>
  </w:num>
  <w:num w:numId="9">
    <w:abstractNumId w:val="6"/>
  </w:num>
  <w:num w:numId="10">
    <w:abstractNumId w:val="13"/>
  </w:num>
  <w:num w:numId="11">
    <w:abstractNumId w:val="12"/>
  </w:num>
  <w:num w:numId="12">
    <w:abstractNumId w:val="5"/>
  </w:num>
  <w:num w:numId="13">
    <w:abstractNumId w:val="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48"/>
    <w:rsid w:val="00001863"/>
    <w:rsid w:val="00003531"/>
    <w:rsid w:val="00004B05"/>
    <w:rsid w:val="00007CAC"/>
    <w:rsid w:val="00010B32"/>
    <w:rsid w:val="00010CAD"/>
    <w:rsid w:val="00013E2B"/>
    <w:rsid w:val="000157FB"/>
    <w:rsid w:val="00016EE2"/>
    <w:rsid w:val="000170C3"/>
    <w:rsid w:val="000212C1"/>
    <w:rsid w:val="000217F2"/>
    <w:rsid w:val="00024F43"/>
    <w:rsid w:val="00026AF2"/>
    <w:rsid w:val="00026F26"/>
    <w:rsid w:val="0002771B"/>
    <w:rsid w:val="0003392D"/>
    <w:rsid w:val="000362A3"/>
    <w:rsid w:val="00043BA5"/>
    <w:rsid w:val="000440EF"/>
    <w:rsid w:val="000469DB"/>
    <w:rsid w:val="00051D52"/>
    <w:rsid w:val="00052EE9"/>
    <w:rsid w:val="000537E4"/>
    <w:rsid w:val="00053F23"/>
    <w:rsid w:val="00055A38"/>
    <w:rsid w:val="00060D4E"/>
    <w:rsid w:val="000642AA"/>
    <w:rsid w:val="0007180A"/>
    <w:rsid w:val="00071D20"/>
    <w:rsid w:val="00074E7C"/>
    <w:rsid w:val="000755A4"/>
    <w:rsid w:val="00075708"/>
    <w:rsid w:val="000800E1"/>
    <w:rsid w:val="000835C8"/>
    <w:rsid w:val="00085A10"/>
    <w:rsid w:val="00085D64"/>
    <w:rsid w:val="00086016"/>
    <w:rsid w:val="000930B1"/>
    <w:rsid w:val="000939E5"/>
    <w:rsid w:val="000A0100"/>
    <w:rsid w:val="000A2E1C"/>
    <w:rsid w:val="000A323C"/>
    <w:rsid w:val="000A4012"/>
    <w:rsid w:val="000A7678"/>
    <w:rsid w:val="000C0444"/>
    <w:rsid w:val="000C06C1"/>
    <w:rsid w:val="000C3699"/>
    <w:rsid w:val="000C4C60"/>
    <w:rsid w:val="000D0FC8"/>
    <w:rsid w:val="000D5634"/>
    <w:rsid w:val="000D5870"/>
    <w:rsid w:val="000D619C"/>
    <w:rsid w:val="000D6B31"/>
    <w:rsid w:val="000D7568"/>
    <w:rsid w:val="000D7A6F"/>
    <w:rsid w:val="000E014A"/>
    <w:rsid w:val="000E0811"/>
    <w:rsid w:val="000E3297"/>
    <w:rsid w:val="000E4990"/>
    <w:rsid w:val="000E53AB"/>
    <w:rsid w:val="000E68C0"/>
    <w:rsid w:val="000E708D"/>
    <w:rsid w:val="000F3E5F"/>
    <w:rsid w:val="000F4FBF"/>
    <w:rsid w:val="000F71CA"/>
    <w:rsid w:val="000F772F"/>
    <w:rsid w:val="000F77ED"/>
    <w:rsid w:val="000F79B0"/>
    <w:rsid w:val="00105571"/>
    <w:rsid w:val="001075E5"/>
    <w:rsid w:val="00111BD4"/>
    <w:rsid w:val="001122FD"/>
    <w:rsid w:val="00117214"/>
    <w:rsid w:val="00120107"/>
    <w:rsid w:val="001208DA"/>
    <w:rsid w:val="00121484"/>
    <w:rsid w:val="0012353D"/>
    <w:rsid w:val="001306C2"/>
    <w:rsid w:val="00130A7A"/>
    <w:rsid w:val="001324F7"/>
    <w:rsid w:val="001352FF"/>
    <w:rsid w:val="001371B0"/>
    <w:rsid w:val="001410E6"/>
    <w:rsid w:val="00144636"/>
    <w:rsid w:val="00145D57"/>
    <w:rsid w:val="00150614"/>
    <w:rsid w:val="00151158"/>
    <w:rsid w:val="00157AC8"/>
    <w:rsid w:val="001619F5"/>
    <w:rsid w:val="001628AD"/>
    <w:rsid w:val="001628FE"/>
    <w:rsid w:val="00162D23"/>
    <w:rsid w:val="00165B79"/>
    <w:rsid w:val="00167BF7"/>
    <w:rsid w:val="00171FA4"/>
    <w:rsid w:val="0017261A"/>
    <w:rsid w:val="00174AB6"/>
    <w:rsid w:val="00175144"/>
    <w:rsid w:val="00175295"/>
    <w:rsid w:val="00176611"/>
    <w:rsid w:val="00186190"/>
    <w:rsid w:val="0018783B"/>
    <w:rsid w:val="001912F9"/>
    <w:rsid w:val="00191385"/>
    <w:rsid w:val="00195FDC"/>
    <w:rsid w:val="001A1030"/>
    <w:rsid w:val="001A2B5D"/>
    <w:rsid w:val="001A40D9"/>
    <w:rsid w:val="001A5B8C"/>
    <w:rsid w:val="001B56FC"/>
    <w:rsid w:val="001B6864"/>
    <w:rsid w:val="001C153E"/>
    <w:rsid w:val="001C1910"/>
    <w:rsid w:val="001D1019"/>
    <w:rsid w:val="001D43D9"/>
    <w:rsid w:val="001D54E6"/>
    <w:rsid w:val="001D5EC0"/>
    <w:rsid w:val="001E40D3"/>
    <w:rsid w:val="001E77B6"/>
    <w:rsid w:val="001F31F8"/>
    <w:rsid w:val="001F3EAD"/>
    <w:rsid w:val="001F5589"/>
    <w:rsid w:val="001F5CA7"/>
    <w:rsid w:val="001F6659"/>
    <w:rsid w:val="00202C4F"/>
    <w:rsid w:val="002050BE"/>
    <w:rsid w:val="002109DF"/>
    <w:rsid w:val="00210FF3"/>
    <w:rsid w:val="002119E7"/>
    <w:rsid w:val="002207AF"/>
    <w:rsid w:val="00222AF9"/>
    <w:rsid w:val="00222B42"/>
    <w:rsid w:val="00222C92"/>
    <w:rsid w:val="00232D13"/>
    <w:rsid w:val="00237AA2"/>
    <w:rsid w:val="002439FF"/>
    <w:rsid w:val="00246C0C"/>
    <w:rsid w:val="00250EA1"/>
    <w:rsid w:val="0025105E"/>
    <w:rsid w:val="00254EAF"/>
    <w:rsid w:val="00255368"/>
    <w:rsid w:val="002557B8"/>
    <w:rsid w:val="00261127"/>
    <w:rsid w:val="00261F3E"/>
    <w:rsid w:val="0026528F"/>
    <w:rsid w:val="00266119"/>
    <w:rsid w:val="00267BCE"/>
    <w:rsid w:val="00270355"/>
    <w:rsid w:val="00270E27"/>
    <w:rsid w:val="00274797"/>
    <w:rsid w:val="002751A1"/>
    <w:rsid w:val="00277D82"/>
    <w:rsid w:val="002822FA"/>
    <w:rsid w:val="00283F27"/>
    <w:rsid w:val="00284778"/>
    <w:rsid w:val="0028601D"/>
    <w:rsid w:val="00291F57"/>
    <w:rsid w:val="002935E3"/>
    <w:rsid w:val="00293F66"/>
    <w:rsid w:val="002959DF"/>
    <w:rsid w:val="00295D35"/>
    <w:rsid w:val="0029616F"/>
    <w:rsid w:val="002A216B"/>
    <w:rsid w:val="002A3825"/>
    <w:rsid w:val="002A56D5"/>
    <w:rsid w:val="002A6D20"/>
    <w:rsid w:val="002A6FE2"/>
    <w:rsid w:val="002A778A"/>
    <w:rsid w:val="002B0566"/>
    <w:rsid w:val="002B542A"/>
    <w:rsid w:val="002B5FD7"/>
    <w:rsid w:val="002B6B42"/>
    <w:rsid w:val="002B7F4C"/>
    <w:rsid w:val="002C46B2"/>
    <w:rsid w:val="002D1AD0"/>
    <w:rsid w:val="002D2D7C"/>
    <w:rsid w:val="002D45D3"/>
    <w:rsid w:val="002D573C"/>
    <w:rsid w:val="002E0FE8"/>
    <w:rsid w:val="002E404A"/>
    <w:rsid w:val="002E6176"/>
    <w:rsid w:val="002E675D"/>
    <w:rsid w:val="002E7A0B"/>
    <w:rsid w:val="002F09CB"/>
    <w:rsid w:val="002F188D"/>
    <w:rsid w:val="002F19C6"/>
    <w:rsid w:val="002F35C0"/>
    <w:rsid w:val="002F3D36"/>
    <w:rsid w:val="002F419A"/>
    <w:rsid w:val="002F7F92"/>
    <w:rsid w:val="00304519"/>
    <w:rsid w:val="00306002"/>
    <w:rsid w:val="0031073B"/>
    <w:rsid w:val="003111A0"/>
    <w:rsid w:val="00311395"/>
    <w:rsid w:val="0031407F"/>
    <w:rsid w:val="00315BC5"/>
    <w:rsid w:val="00333A73"/>
    <w:rsid w:val="0033556E"/>
    <w:rsid w:val="00337931"/>
    <w:rsid w:val="00337F27"/>
    <w:rsid w:val="00343537"/>
    <w:rsid w:val="00343D99"/>
    <w:rsid w:val="003449A8"/>
    <w:rsid w:val="003469E5"/>
    <w:rsid w:val="003520CA"/>
    <w:rsid w:val="00354026"/>
    <w:rsid w:val="00355AB6"/>
    <w:rsid w:val="00356C85"/>
    <w:rsid w:val="00360B67"/>
    <w:rsid w:val="003623D6"/>
    <w:rsid w:val="0036430C"/>
    <w:rsid w:val="003662B2"/>
    <w:rsid w:val="00366F39"/>
    <w:rsid w:val="00371CDD"/>
    <w:rsid w:val="00376FAE"/>
    <w:rsid w:val="00381288"/>
    <w:rsid w:val="003834DA"/>
    <w:rsid w:val="00391B9A"/>
    <w:rsid w:val="00392E63"/>
    <w:rsid w:val="003953C1"/>
    <w:rsid w:val="003A459F"/>
    <w:rsid w:val="003A785E"/>
    <w:rsid w:val="003B139E"/>
    <w:rsid w:val="003B2262"/>
    <w:rsid w:val="003B2486"/>
    <w:rsid w:val="003B37FF"/>
    <w:rsid w:val="003B79F1"/>
    <w:rsid w:val="003B7B1E"/>
    <w:rsid w:val="003C1EA0"/>
    <w:rsid w:val="003C2059"/>
    <w:rsid w:val="003C38B5"/>
    <w:rsid w:val="003C5E8D"/>
    <w:rsid w:val="003C7B58"/>
    <w:rsid w:val="003D3EBE"/>
    <w:rsid w:val="003D76D4"/>
    <w:rsid w:val="003E005A"/>
    <w:rsid w:val="003E0B76"/>
    <w:rsid w:val="003E11CE"/>
    <w:rsid w:val="003E1A03"/>
    <w:rsid w:val="003E2FE5"/>
    <w:rsid w:val="003E696E"/>
    <w:rsid w:val="003F0893"/>
    <w:rsid w:val="003F118F"/>
    <w:rsid w:val="003F1D30"/>
    <w:rsid w:val="003F31B5"/>
    <w:rsid w:val="003F69C5"/>
    <w:rsid w:val="00400E2E"/>
    <w:rsid w:val="0040414E"/>
    <w:rsid w:val="00404239"/>
    <w:rsid w:val="004120AF"/>
    <w:rsid w:val="00413319"/>
    <w:rsid w:val="00413FBE"/>
    <w:rsid w:val="00416394"/>
    <w:rsid w:val="00417744"/>
    <w:rsid w:val="00417B38"/>
    <w:rsid w:val="004214BB"/>
    <w:rsid w:val="00423F0A"/>
    <w:rsid w:val="0042560A"/>
    <w:rsid w:val="00431748"/>
    <w:rsid w:val="00434940"/>
    <w:rsid w:val="00450EEE"/>
    <w:rsid w:val="00453750"/>
    <w:rsid w:val="00461969"/>
    <w:rsid w:val="00462846"/>
    <w:rsid w:val="00463C5F"/>
    <w:rsid w:val="00465A64"/>
    <w:rsid w:val="00465F9D"/>
    <w:rsid w:val="00466390"/>
    <w:rsid w:val="00466A83"/>
    <w:rsid w:val="00475745"/>
    <w:rsid w:val="00477290"/>
    <w:rsid w:val="00477D2E"/>
    <w:rsid w:val="004827BF"/>
    <w:rsid w:val="0048755F"/>
    <w:rsid w:val="00491ED4"/>
    <w:rsid w:val="00493C94"/>
    <w:rsid w:val="004962B6"/>
    <w:rsid w:val="004A10E1"/>
    <w:rsid w:val="004B4413"/>
    <w:rsid w:val="004B60E0"/>
    <w:rsid w:val="004C08CA"/>
    <w:rsid w:val="004C17B5"/>
    <w:rsid w:val="004C1B0A"/>
    <w:rsid w:val="004C24AD"/>
    <w:rsid w:val="004C53EE"/>
    <w:rsid w:val="004C5A64"/>
    <w:rsid w:val="004D2293"/>
    <w:rsid w:val="004D7266"/>
    <w:rsid w:val="004E09D7"/>
    <w:rsid w:val="004E142D"/>
    <w:rsid w:val="004E1C74"/>
    <w:rsid w:val="004E256D"/>
    <w:rsid w:val="004E3B47"/>
    <w:rsid w:val="004E3EF9"/>
    <w:rsid w:val="004E6D1A"/>
    <w:rsid w:val="004F1E8F"/>
    <w:rsid w:val="004F3F7D"/>
    <w:rsid w:val="004F4E7E"/>
    <w:rsid w:val="00503052"/>
    <w:rsid w:val="005044B6"/>
    <w:rsid w:val="00504F60"/>
    <w:rsid w:val="00505003"/>
    <w:rsid w:val="0050588D"/>
    <w:rsid w:val="00510E3B"/>
    <w:rsid w:val="00511905"/>
    <w:rsid w:val="00511E03"/>
    <w:rsid w:val="00512538"/>
    <w:rsid w:val="0051361C"/>
    <w:rsid w:val="00513798"/>
    <w:rsid w:val="00515C09"/>
    <w:rsid w:val="00524023"/>
    <w:rsid w:val="00526D4A"/>
    <w:rsid w:val="0053181C"/>
    <w:rsid w:val="00531849"/>
    <w:rsid w:val="00533382"/>
    <w:rsid w:val="005345A6"/>
    <w:rsid w:val="00537D29"/>
    <w:rsid w:val="00541D9C"/>
    <w:rsid w:val="00545A2E"/>
    <w:rsid w:val="00547632"/>
    <w:rsid w:val="005505DC"/>
    <w:rsid w:val="00553EB0"/>
    <w:rsid w:val="00556086"/>
    <w:rsid w:val="00557593"/>
    <w:rsid w:val="00557683"/>
    <w:rsid w:val="005576E4"/>
    <w:rsid w:val="00560403"/>
    <w:rsid w:val="00562687"/>
    <w:rsid w:val="005649D3"/>
    <w:rsid w:val="00565746"/>
    <w:rsid w:val="00565936"/>
    <w:rsid w:val="005672D6"/>
    <w:rsid w:val="00567F9B"/>
    <w:rsid w:val="0057401D"/>
    <w:rsid w:val="00576B1F"/>
    <w:rsid w:val="005801CD"/>
    <w:rsid w:val="00581BEB"/>
    <w:rsid w:val="00584B46"/>
    <w:rsid w:val="00585FD1"/>
    <w:rsid w:val="005941EB"/>
    <w:rsid w:val="005963D2"/>
    <w:rsid w:val="005965E6"/>
    <w:rsid w:val="00597EEA"/>
    <w:rsid w:val="005A2CE6"/>
    <w:rsid w:val="005A354E"/>
    <w:rsid w:val="005A39D4"/>
    <w:rsid w:val="005A5546"/>
    <w:rsid w:val="005A6B34"/>
    <w:rsid w:val="005B0E19"/>
    <w:rsid w:val="005B25B4"/>
    <w:rsid w:val="005B38B9"/>
    <w:rsid w:val="005B6D72"/>
    <w:rsid w:val="005B6DF1"/>
    <w:rsid w:val="005B79FA"/>
    <w:rsid w:val="005C0F1E"/>
    <w:rsid w:val="005D179F"/>
    <w:rsid w:val="005D1C41"/>
    <w:rsid w:val="005D1F80"/>
    <w:rsid w:val="005D5F04"/>
    <w:rsid w:val="005D68C9"/>
    <w:rsid w:val="005E05B2"/>
    <w:rsid w:val="005E22A9"/>
    <w:rsid w:val="005E3DE6"/>
    <w:rsid w:val="005E5A4C"/>
    <w:rsid w:val="005E7AE3"/>
    <w:rsid w:val="005F15F4"/>
    <w:rsid w:val="005F3AD9"/>
    <w:rsid w:val="005F4754"/>
    <w:rsid w:val="005F6A1B"/>
    <w:rsid w:val="00603532"/>
    <w:rsid w:val="006052FD"/>
    <w:rsid w:val="00610C51"/>
    <w:rsid w:val="006130EF"/>
    <w:rsid w:val="00623D4F"/>
    <w:rsid w:val="00624C38"/>
    <w:rsid w:val="00624CC6"/>
    <w:rsid w:val="00627195"/>
    <w:rsid w:val="006315E0"/>
    <w:rsid w:val="00632168"/>
    <w:rsid w:val="006379A1"/>
    <w:rsid w:val="006405F6"/>
    <w:rsid w:val="00641D0C"/>
    <w:rsid w:val="00645237"/>
    <w:rsid w:val="006531B6"/>
    <w:rsid w:val="00654C6A"/>
    <w:rsid w:val="006552CC"/>
    <w:rsid w:val="00657F16"/>
    <w:rsid w:val="00662C4D"/>
    <w:rsid w:val="00666D9C"/>
    <w:rsid w:val="00667963"/>
    <w:rsid w:val="0067113A"/>
    <w:rsid w:val="006723B7"/>
    <w:rsid w:val="0067366A"/>
    <w:rsid w:val="00673D4F"/>
    <w:rsid w:val="006761DD"/>
    <w:rsid w:val="0068035F"/>
    <w:rsid w:val="00684550"/>
    <w:rsid w:val="006956DC"/>
    <w:rsid w:val="006A0D9D"/>
    <w:rsid w:val="006A16F5"/>
    <w:rsid w:val="006A1A75"/>
    <w:rsid w:val="006A6B4C"/>
    <w:rsid w:val="006A7545"/>
    <w:rsid w:val="006B23B4"/>
    <w:rsid w:val="006B4228"/>
    <w:rsid w:val="006B4E9E"/>
    <w:rsid w:val="006B6C01"/>
    <w:rsid w:val="006B768D"/>
    <w:rsid w:val="006C1480"/>
    <w:rsid w:val="006C5A5E"/>
    <w:rsid w:val="006C744F"/>
    <w:rsid w:val="006C7DDF"/>
    <w:rsid w:val="006D0379"/>
    <w:rsid w:val="006D173F"/>
    <w:rsid w:val="006D1F57"/>
    <w:rsid w:val="006D2A1A"/>
    <w:rsid w:val="006D582C"/>
    <w:rsid w:val="006D6BA5"/>
    <w:rsid w:val="006D72CF"/>
    <w:rsid w:val="006E1AF9"/>
    <w:rsid w:val="006E2151"/>
    <w:rsid w:val="006E738A"/>
    <w:rsid w:val="006F00EA"/>
    <w:rsid w:val="006F0C06"/>
    <w:rsid w:val="006F1C9A"/>
    <w:rsid w:val="006F27D0"/>
    <w:rsid w:val="006F5E76"/>
    <w:rsid w:val="00700B45"/>
    <w:rsid w:val="00702279"/>
    <w:rsid w:val="0070440A"/>
    <w:rsid w:val="00706348"/>
    <w:rsid w:val="0070684F"/>
    <w:rsid w:val="007127F9"/>
    <w:rsid w:val="007154F2"/>
    <w:rsid w:val="00715C16"/>
    <w:rsid w:val="0072046F"/>
    <w:rsid w:val="00722216"/>
    <w:rsid w:val="00724296"/>
    <w:rsid w:val="007261B4"/>
    <w:rsid w:val="0073009D"/>
    <w:rsid w:val="007300FE"/>
    <w:rsid w:val="0073158A"/>
    <w:rsid w:val="00732D8D"/>
    <w:rsid w:val="00733B0B"/>
    <w:rsid w:val="0073458B"/>
    <w:rsid w:val="00735AC2"/>
    <w:rsid w:val="00741E08"/>
    <w:rsid w:val="00744603"/>
    <w:rsid w:val="00744A0D"/>
    <w:rsid w:val="00744EDA"/>
    <w:rsid w:val="00746AA8"/>
    <w:rsid w:val="0074725B"/>
    <w:rsid w:val="00751738"/>
    <w:rsid w:val="00754A30"/>
    <w:rsid w:val="00756E5B"/>
    <w:rsid w:val="00761D7A"/>
    <w:rsid w:val="00762841"/>
    <w:rsid w:val="00763FDC"/>
    <w:rsid w:val="00764355"/>
    <w:rsid w:val="007648A0"/>
    <w:rsid w:val="0076711A"/>
    <w:rsid w:val="007673C9"/>
    <w:rsid w:val="00774746"/>
    <w:rsid w:val="00776025"/>
    <w:rsid w:val="007811B0"/>
    <w:rsid w:val="0078169C"/>
    <w:rsid w:val="00785ED6"/>
    <w:rsid w:val="00790E53"/>
    <w:rsid w:val="00792756"/>
    <w:rsid w:val="00794C11"/>
    <w:rsid w:val="00796512"/>
    <w:rsid w:val="007A2F79"/>
    <w:rsid w:val="007A3690"/>
    <w:rsid w:val="007A494F"/>
    <w:rsid w:val="007A527E"/>
    <w:rsid w:val="007A58C5"/>
    <w:rsid w:val="007A5DD4"/>
    <w:rsid w:val="007A742D"/>
    <w:rsid w:val="007B077A"/>
    <w:rsid w:val="007B2510"/>
    <w:rsid w:val="007B3F12"/>
    <w:rsid w:val="007B408F"/>
    <w:rsid w:val="007B667C"/>
    <w:rsid w:val="007C1F31"/>
    <w:rsid w:val="007C2E7B"/>
    <w:rsid w:val="007C37CE"/>
    <w:rsid w:val="007D0535"/>
    <w:rsid w:val="007D1365"/>
    <w:rsid w:val="007D2698"/>
    <w:rsid w:val="007E1A6A"/>
    <w:rsid w:val="007E6FC4"/>
    <w:rsid w:val="007F3189"/>
    <w:rsid w:val="007F768F"/>
    <w:rsid w:val="007F7D82"/>
    <w:rsid w:val="0081536A"/>
    <w:rsid w:val="00816BBF"/>
    <w:rsid w:val="00817C28"/>
    <w:rsid w:val="008214E5"/>
    <w:rsid w:val="00823CB0"/>
    <w:rsid w:val="00826CA6"/>
    <w:rsid w:val="00826CCA"/>
    <w:rsid w:val="008278E6"/>
    <w:rsid w:val="0083206E"/>
    <w:rsid w:val="008320D5"/>
    <w:rsid w:val="008342DE"/>
    <w:rsid w:val="00834C64"/>
    <w:rsid w:val="0083602C"/>
    <w:rsid w:val="0083672D"/>
    <w:rsid w:val="008422AB"/>
    <w:rsid w:val="00844F44"/>
    <w:rsid w:val="00850062"/>
    <w:rsid w:val="00853C40"/>
    <w:rsid w:val="008550D7"/>
    <w:rsid w:val="008556E9"/>
    <w:rsid w:val="0085633F"/>
    <w:rsid w:val="00863334"/>
    <w:rsid w:val="00865D02"/>
    <w:rsid w:val="008665BD"/>
    <w:rsid w:val="008670D3"/>
    <w:rsid w:val="00867163"/>
    <w:rsid w:val="00872C54"/>
    <w:rsid w:val="00873FA1"/>
    <w:rsid w:val="008760F2"/>
    <w:rsid w:val="008776FA"/>
    <w:rsid w:val="00886356"/>
    <w:rsid w:val="00892558"/>
    <w:rsid w:val="0089364E"/>
    <w:rsid w:val="00894B6E"/>
    <w:rsid w:val="00894E7A"/>
    <w:rsid w:val="008A1456"/>
    <w:rsid w:val="008A1A94"/>
    <w:rsid w:val="008A3A77"/>
    <w:rsid w:val="008A622C"/>
    <w:rsid w:val="008B072A"/>
    <w:rsid w:val="008B3A94"/>
    <w:rsid w:val="008B4F4F"/>
    <w:rsid w:val="008C0797"/>
    <w:rsid w:val="008C311F"/>
    <w:rsid w:val="008C7670"/>
    <w:rsid w:val="008C76C1"/>
    <w:rsid w:val="008D0EEE"/>
    <w:rsid w:val="008D6344"/>
    <w:rsid w:val="008E61E2"/>
    <w:rsid w:val="008F46F5"/>
    <w:rsid w:val="008F718C"/>
    <w:rsid w:val="00900AA2"/>
    <w:rsid w:val="009010FB"/>
    <w:rsid w:val="009014CD"/>
    <w:rsid w:val="0090188A"/>
    <w:rsid w:val="00902A6B"/>
    <w:rsid w:val="00904B13"/>
    <w:rsid w:val="00904E50"/>
    <w:rsid w:val="0090587D"/>
    <w:rsid w:val="009075FB"/>
    <w:rsid w:val="009103D8"/>
    <w:rsid w:val="00910A1C"/>
    <w:rsid w:val="0091272A"/>
    <w:rsid w:val="00912A06"/>
    <w:rsid w:val="00912E14"/>
    <w:rsid w:val="00915269"/>
    <w:rsid w:val="00915B17"/>
    <w:rsid w:val="00915E1B"/>
    <w:rsid w:val="00916506"/>
    <w:rsid w:val="00920154"/>
    <w:rsid w:val="0092463E"/>
    <w:rsid w:val="00924D9D"/>
    <w:rsid w:val="00927768"/>
    <w:rsid w:val="00932AC7"/>
    <w:rsid w:val="00932C7C"/>
    <w:rsid w:val="009349BA"/>
    <w:rsid w:val="009401B7"/>
    <w:rsid w:val="00942268"/>
    <w:rsid w:val="00944B10"/>
    <w:rsid w:val="00944E58"/>
    <w:rsid w:val="0094526D"/>
    <w:rsid w:val="00953938"/>
    <w:rsid w:val="00954AA2"/>
    <w:rsid w:val="00955638"/>
    <w:rsid w:val="00955E72"/>
    <w:rsid w:val="0095716B"/>
    <w:rsid w:val="009600C2"/>
    <w:rsid w:val="00960D32"/>
    <w:rsid w:val="0096787F"/>
    <w:rsid w:val="00971FA8"/>
    <w:rsid w:val="00972E76"/>
    <w:rsid w:val="0097343D"/>
    <w:rsid w:val="00974735"/>
    <w:rsid w:val="00974A05"/>
    <w:rsid w:val="00975F2F"/>
    <w:rsid w:val="00982A8F"/>
    <w:rsid w:val="00983742"/>
    <w:rsid w:val="0098419D"/>
    <w:rsid w:val="009849F2"/>
    <w:rsid w:val="00986C2C"/>
    <w:rsid w:val="00987A63"/>
    <w:rsid w:val="00987B0D"/>
    <w:rsid w:val="0099158F"/>
    <w:rsid w:val="00993192"/>
    <w:rsid w:val="009A25EE"/>
    <w:rsid w:val="009A2EC5"/>
    <w:rsid w:val="009A500B"/>
    <w:rsid w:val="009A62A5"/>
    <w:rsid w:val="009A7041"/>
    <w:rsid w:val="009A70DA"/>
    <w:rsid w:val="009A7141"/>
    <w:rsid w:val="009B1E5A"/>
    <w:rsid w:val="009B44B6"/>
    <w:rsid w:val="009B5006"/>
    <w:rsid w:val="009B55B6"/>
    <w:rsid w:val="009C3A0F"/>
    <w:rsid w:val="009C4D92"/>
    <w:rsid w:val="009C7C11"/>
    <w:rsid w:val="009D4B10"/>
    <w:rsid w:val="009D5FC4"/>
    <w:rsid w:val="009D7F25"/>
    <w:rsid w:val="009D7FD5"/>
    <w:rsid w:val="009E0FF0"/>
    <w:rsid w:val="009E188A"/>
    <w:rsid w:val="009E1EB8"/>
    <w:rsid w:val="009E679D"/>
    <w:rsid w:val="009E6B20"/>
    <w:rsid w:val="009E7059"/>
    <w:rsid w:val="009F13F7"/>
    <w:rsid w:val="009F469E"/>
    <w:rsid w:val="009F6E7E"/>
    <w:rsid w:val="00A03709"/>
    <w:rsid w:val="00A04E46"/>
    <w:rsid w:val="00A16B6B"/>
    <w:rsid w:val="00A202C6"/>
    <w:rsid w:val="00A22F46"/>
    <w:rsid w:val="00A300C6"/>
    <w:rsid w:val="00A31337"/>
    <w:rsid w:val="00A33AEC"/>
    <w:rsid w:val="00A35735"/>
    <w:rsid w:val="00A37F81"/>
    <w:rsid w:val="00A40E49"/>
    <w:rsid w:val="00A41627"/>
    <w:rsid w:val="00A439FD"/>
    <w:rsid w:val="00A47156"/>
    <w:rsid w:val="00A539AC"/>
    <w:rsid w:val="00A56A51"/>
    <w:rsid w:val="00A6094C"/>
    <w:rsid w:val="00A6539C"/>
    <w:rsid w:val="00A655AE"/>
    <w:rsid w:val="00A67D3E"/>
    <w:rsid w:val="00A71F29"/>
    <w:rsid w:val="00A73C95"/>
    <w:rsid w:val="00A73F3C"/>
    <w:rsid w:val="00A76868"/>
    <w:rsid w:val="00A77860"/>
    <w:rsid w:val="00A81115"/>
    <w:rsid w:val="00A812F0"/>
    <w:rsid w:val="00A85D7B"/>
    <w:rsid w:val="00A85E98"/>
    <w:rsid w:val="00A871EB"/>
    <w:rsid w:val="00A9058C"/>
    <w:rsid w:val="00A91948"/>
    <w:rsid w:val="00AA4E96"/>
    <w:rsid w:val="00AA5405"/>
    <w:rsid w:val="00AA69BE"/>
    <w:rsid w:val="00AB019A"/>
    <w:rsid w:val="00AB1086"/>
    <w:rsid w:val="00AB4E82"/>
    <w:rsid w:val="00AC2013"/>
    <w:rsid w:val="00AC4DCC"/>
    <w:rsid w:val="00AC5A45"/>
    <w:rsid w:val="00AC5F04"/>
    <w:rsid w:val="00AD15FD"/>
    <w:rsid w:val="00AD35EB"/>
    <w:rsid w:val="00AD4B64"/>
    <w:rsid w:val="00AD4E52"/>
    <w:rsid w:val="00AD65D5"/>
    <w:rsid w:val="00AE0C9F"/>
    <w:rsid w:val="00AE12D8"/>
    <w:rsid w:val="00AE2249"/>
    <w:rsid w:val="00AE45CD"/>
    <w:rsid w:val="00AE4B53"/>
    <w:rsid w:val="00AE5430"/>
    <w:rsid w:val="00AE6604"/>
    <w:rsid w:val="00AE66D1"/>
    <w:rsid w:val="00AE771B"/>
    <w:rsid w:val="00AF13B7"/>
    <w:rsid w:val="00AF2C6E"/>
    <w:rsid w:val="00AF5107"/>
    <w:rsid w:val="00AF68C5"/>
    <w:rsid w:val="00B00725"/>
    <w:rsid w:val="00B01A23"/>
    <w:rsid w:val="00B01DAB"/>
    <w:rsid w:val="00B01E47"/>
    <w:rsid w:val="00B05108"/>
    <w:rsid w:val="00B055DD"/>
    <w:rsid w:val="00B10727"/>
    <w:rsid w:val="00B13B1B"/>
    <w:rsid w:val="00B206D0"/>
    <w:rsid w:val="00B2155C"/>
    <w:rsid w:val="00B26690"/>
    <w:rsid w:val="00B3077A"/>
    <w:rsid w:val="00B32575"/>
    <w:rsid w:val="00B411BD"/>
    <w:rsid w:val="00B41E3F"/>
    <w:rsid w:val="00B42C9C"/>
    <w:rsid w:val="00B4462B"/>
    <w:rsid w:val="00B450BE"/>
    <w:rsid w:val="00B47591"/>
    <w:rsid w:val="00B529D5"/>
    <w:rsid w:val="00B533CB"/>
    <w:rsid w:val="00B56335"/>
    <w:rsid w:val="00B56D59"/>
    <w:rsid w:val="00B5706D"/>
    <w:rsid w:val="00B64FF8"/>
    <w:rsid w:val="00B66C7E"/>
    <w:rsid w:val="00B7141D"/>
    <w:rsid w:val="00B72C0F"/>
    <w:rsid w:val="00B74E70"/>
    <w:rsid w:val="00B75919"/>
    <w:rsid w:val="00B81737"/>
    <w:rsid w:val="00B8435B"/>
    <w:rsid w:val="00B874D6"/>
    <w:rsid w:val="00B93883"/>
    <w:rsid w:val="00B96EF0"/>
    <w:rsid w:val="00BA168C"/>
    <w:rsid w:val="00BA19E8"/>
    <w:rsid w:val="00BB4AC3"/>
    <w:rsid w:val="00BC0969"/>
    <w:rsid w:val="00BC0EC3"/>
    <w:rsid w:val="00BC1BB7"/>
    <w:rsid w:val="00BC311A"/>
    <w:rsid w:val="00BC490A"/>
    <w:rsid w:val="00BC6C9C"/>
    <w:rsid w:val="00BD4481"/>
    <w:rsid w:val="00BD6707"/>
    <w:rsid w:val="00BD7C25"/>
    <w:rsid w:val="00BE060C"/>
    <w:rsid w:val="00BE2891"/>
    <w:rsid w:val="00BE436F"/>
    <w:rsid w:val="00BE4FC5"/>
    <w:rsid w:val="00BE57A4"/>
    <w:rsid w:val="00BE7090"/>
    <w:rsid w:val="00BF4549"/>
    <w:rsid w:val="00BF4F98"/>
    <w:rsid w:val="00BF5678"/>
    <w:rsid w:val="00BF5F3F"/>
    <w:rsid w:val="00BF7DF7"/>
    <w:rsid w:val="00C07008"/>
    <w:rsid w:val="00C1080A"/>
    <w:rsid w:val="00C12C32"/>
    <w:rsid w:val="00C175BA"/>
    <w:rsid w:val="00C25066"/>
    <w:rsid w:val="00C2593C"/>
    <w:rsid w:val="00C321FB"/>
    <w:rsid w:val="00C33778"/>
    <w:rsid w:val="00C36C2A"/>
    <w:rsid w:val="00C377C7"/>
    <w:rsid w:val="00C40164"/>
    <w:rsid w:val="00C51B54"/>
    <w:rsid w:val="00C52762"/>
    <w:rsid w:val="00C54746"/>
    <w:rsid w:val="00C60F42"/>
    <w:rsid w:val="00C63768"/>
    <w:rsid w:val="00C65994"/>
    <w:rsid w:val="00C66AC7"/>
    <w:rsid w:val="00C74C03"/>
    <w:rsid w:val="00C80557"/>
    <w:rsid w:val="00C805EF"/>
    <w:rsid w:val="00C82813"/>
    <w:rsid w:val="00C85905"/>
    <w:rsid w:val="00C927A2"/>
    <w:rsid w:val="00C963F2"/>
    <w:rsid w:val="00C97B7B"/>
    <w:rsid w:val="00CA05ED"/>
    <w:rsid w:val="00CA5CB6"/>
    <w:rsid w:val="00CB0091"/>
    <w:rsid w:val="00CB1C66"/>
    <w:rsid w:val="00CB2270"/>
    <w:rsid w:val="00CB3148"/>
    <w:rsid w:val="00CB4CE1"/>
    <w:rsid w:val="00CB58DE"/>
    <w:rsid w:val="00CB5C1D"/>
    <w:rsid w:val="00CB7698"/>
    <w:rsid w:val="00CC2875"/>
    <w:rsid w:val="00CC4961"/>
    <w:rsid w:val="00CC49EC"/>
    <w:rsid w:val="00CC62D7"/>
    <w:rsid w:val="00CD2EA4"/>
    <w:rsid w:val="00CD4482"/>
    <w:rsid w:val="00CD4A70"/>
    <w:rsid w:val="00CD4E49"/>
    <w:rsid w:val="00CD7EA3"/>
    <w:rsid w:val="00CE0131"/>
    <w:rsid w:val="00CE0802"/>
    <w:rsid w:val="00CE0BAC"/>
    <w:rsid w:val="00CE3477"/>
    <w:rsid w:val="00CE3C13"/>
    <w:rsid w:val="00CF1977"/>
    <w:rsid w:val="00CF1D74"/>
    <w:rsid w:val="00CF2BD0"/>
    <w:rsid w:val="00CF40B5"/>
    <w:rsid w:val="00CF53D9"/>
    <w:rsid w:val="00D00D29"/>
    <w:rsid w:val="00D06502"/>
    <w:rsid w:val="00D122AD"/>
    <w:rsid w:val="00D14F66"/>
    <w:rsid w:val="00D16B27"/>
    <w:rsid w:val="00D171E6"/>
    <w:rsid w:val="00D17E92"/>
    <w:rsid w:val="00D22D35"/>
    <w:rsid w:val="00D23527"/>
    <w:rsid w:val="00D24686"/>
    <w:rsid w:val="00D25851"/>
    <w:rsid w:val="00D26A8D"/>
    <w:rsid w:val="00D33231"/>
    <w:rsid w:val="00D34E9C"/>
    <w:rsid w:val="00D370FE"/>
    <w:rsid w:val="00D37578"/>
    <w:rsid w:val="00D40B19"/>
    <w:rsid w:val="00D44037"/>
    <w:rsid w:val="00D45806"/>
    <w:rsid w:val="00D4746E"/>
    <w:rsid w:val="00D50A3D"/>
    <w:rsid w:val="00D50DD0"/>
    <w:rsid w:val="00D61154"/>
    <w:rsid w:val="00D64D77"/>
    <w:rsid w:val="00D6678A"/>
    <w:rsid w:val="00D66950"/>
    <w:rsid w:val="00D67104"/>
    <w:rsid w:val="00D67CE1"/>
    <w:rsid w:val="00D706AA"/>
    <w:rsid w:val="00D72268"/>
    <w:rsid w:val="00D7255B"/>
    <w:rsid w:val="00D727D9"/>
    <w:rsid w:val="00D72D2F"/>
    <w:rsid w:val="00D755B8"/>
    <w:rsid w:val="00D773DA"/>
    <w:rsid w:val="00D778C6"/>
    <w:rsid w:val="00D8007B"/>
    <w:rsid w:val="00D82641"/>
    <w:rsid w:val="00D834E6"/>
    <w:rsid w:val="00D8392F"/>
    <w:rsid w:val="00D84535"/>
    <w:rsid w:val="00D8462E"/>
    <w:rsid w:val="00D85777"/>
    <w:rsid w:val="00D85D88"/>
    <w:rsid w:val="00D85EBA"/>
    <w:rsid w:val="00D90D74"/>
    <w:rsid w:val="00DA08F9"/>
    <w:rsid w:val="00DA3378"/>
    <w:rsid w:val="00DA3682"/>
    <w:rsid w:val="00DA4454"/>
    <w:rsid w:val="00DA4F5C"/>
    <w:rsid w:val="00DB4D2C"/>
    <w:rsid w:val="00DB642B"/>
    <w:rsid w:val="00DB6C18"/>
    <w:rsid w:val="00DC1AA4"/>
    <w:rsid w:val="00DC2C9F"/>
    <w:rsid w:val="00DC3676"/>
    <w:rsid w:val="00DC4A91"/>
    <w:rsid w:val="00DD0332"/>
    <w:rsid w:val="00DD11B2"/>
    <w:rsid w:val="00DD2154"/>
    <w:rsid w:val="00DD37B3"/>
    <w:rsid w:val="00DD5D1A"/>
    <w:rsid w:val="00DD6C6A"/>
    <w:rsid w:val="00DE0754"/>
    <w:rsid w:val="00DE3868"/>
    <w:rsid w:val="00DE3A17"/>
    <w:rsid w:val="00DE695D"/>
    <w:rsid w:val="00DE6D53"/>
    <w:rsid w:val="00DE7B88"/>
    <w:rsid w:val="00DF0D0D"/>
    <w:rsid w:val="00DF1E84"/>
    <w:rsid w:val="00DF2013"/>
    <w:rsid w:val="00DF206A"/>
    <w:rsid w:val="00DF6FD3"/>
    <w:rsid w:val="00DF7278"/>
    <w:rsid w:val="00E001B4"/>
    <w:rsid w:val="00E0042F"/>
    <w:rsid w:val="00E03FBB"/>
    <w:rsid w:val="00E07749"/>
    <w:rsid w:val="00E10006"/>
    <w:rsid w:val="00E10DD7"/>
    <w:rsid w:val="00E14356"/>
    <w:rsid w:val="00E1791A"/>
    <w:rsid w:val="00E21149"/>
    <w:rsid w:val="00E22138"/>
    <w:rsid w:val="00E23E51"/>
    <w:rsid w:val="00E24F90"/>
    <w:rsid w:val="00E25942"/>
    <w:rsid w:val="00E270ED"/>
    <w:rsid w:val="00E3527B"/>
    <w:rsid w:val="00E504A1"/>
    <w:rsid w:val="00E51524"/>
    <w:rsid w:val="00E51989"/>
    <w:rsid w:val="00E54547"/>
    <w:rsid w:val="00E55371"/>
    <w:rsid w:val="00E55F41"/>
    <w:rsid w:val="00E64C38"/>
    <w:rsid w:val="00E65021"/>
    <w:rsid w:val="00E65DCB"/>
    <w:rsid w:val="00E753DE"/>
    <w:rsid w:val="00E7605B"/>
    <w:rsid w:val="00E7656E"/>
    <w:rsid w:val="00E80156"/>
    <w:rsid w:val="00E82ECA"/>
    <w:rsid w:val="00E8533E"/>
    <w:rsid w:val="00E854DA"/>
    <w:rsid w:val="00E91AFD"/>
    <w:rsid w:val="00E978CD"/>
    <w:rsid w:val="00EA0909"/>
    <w:rsid w:val="00EA1877"/>
    <w:rsid w:val="00EA26E3"/>
    <w:rsid w:val="00EA539C"/>
    <w:rsid w:val="00EA6F6A"/>
    <w:rsid w:val="00EA7F0E"/>
    <w:rsid w:val="00EB0180"/>
    <w:rsid w:val="00EB1219"/>
    <w:rsid w:val="00EB2D5E"/>
    <w:rsid w:val="00EC3C0D"/>
    <w:rsid w:val="00EC4ADE"/>
    <w:rsid w:val="00ED1BA8"/>
    <w:rsid w:val="00ED72F4"/>
    <w:rsid w:val="00EE335C"/>
    <w:rsid w:val="00EE3D3A"/>
    <w:rsid w:val="00EE571F"/>
    <w:rsid w:val="00EE6365"/>
    <w:rsid w:val="00EE6E6B"/>
    <w:rsid w:val="00EE7B6D"/>
    <w:rsid w:val="00EF37D6"/>
    <w:rsid w:val="00EF6443"/>
    <w:rsid w:val="00EF7F6C"/>
    <w:rsid w:val="00F02E81"/>
    <w:rsid w:val="00F212A7"/>
    <w:rsid w:val="00F21794"/>
    <w:rsid w:val="00F226D5"/>
    <w:rsid w:val="00F25ACD"/>
    <w:rsid w:val="00F3375A"/>
    <w:rsid w:val="00F35C2F"/>
    <w:rsid w:val="00F36E8A"/>
    <w:rsid w:val="00F40B87"/>
    <w:rsid w:val="00F41CED"/>
    <w:rsid w:val="00F436AF"/>
    <w:rsid w:val="00F445A7"/>
    <w:rsid w:val="00F46AD6"/>
    <w:rsid w:val="00F46E15"/>
    <w:rsid w:val="00F50804"/>
    <w:rsid w:val="00F60445"/>
    <w:rsid w:val="00F65BF9"/>
    <w:rsid w:val="00F67912"/>
    <w:rsid w:val="00F70277"/>
    <w:rsid w:val="00F705ED"/>
    <w:rsid w:val="00F71701"/>
    <w:rsid w:val="00F8101E"/>
    <w:rsid w:val="00F81143"/>
    <w:rsid w:val="00F8713E"/>
    <w:rsid w:val="00F8783D"/>
    <w:rsid w:val="00F87CA0"/>
    <w:rsid w:val="00F87FB1"/>
    <w:rsid w:val="00F9030B"/>
    <w:rsid w:val="00F9452B"/>
    <w:rsid w:val="00F965FC"/>
    <w:rsid w:val="00F96B8A"/>
    <w:rsid w:val="00FA0925"/>
    <w:rsid w:val="00FA3C59"/>
    <w:rsid w:val="00FA4AB4"/>
    <w:rsid w:val="00FA564B"/>
    <w:rsid w:val="00FB1EEC"/>
    <w:rsid w:val="00FB2098"/>
    <w:rsid w:val="00FB4F8B"/>
    <w:rsid w:val="00FC3AB1"/>
    <w:rsid w:val="00FC5137"/>
    <w:rsid w:val="00FC5809"/>
    <w:rsid w:val="00FC6EFC"/>
    <w:rsid w:val="00FD044A"/>
    <w:rsid w:val="00FD29C5"/>
    <w:rsid w:val="00FD529A"/>
    <w:rsid w:val="00FE4CFA"/>
    <w:rsid w:val="00FE786E"/>
    <w:rsid w:val="00FF2FE1"/>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508C6"/>
  <w15:docId w15:val="{1EE1F688-93DE-4348-A95F-2118B6F6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23"/>
    <w:rPr>
      <w:rFonts w:ascii="Times New Roman" w:eastAsiaTheme="minorHAnsi" w:hAnsi="Times New Roman"/>
      <w:szCs w:val="22"/>
    </w:rPr>
  </w:style>
  <w:style w:type="paragraph" w:styleId="Heading1">
    <w:name w:val="heading 1"/>
    <w:basedOn w:val="Normal"/>
    <w:next w:val="Normal"/>
    <w:link w:val="Heading1Char"/>
    <w:uiPriority w:val="9"/>
    <w:qFormat/>
    <w:rsid w:val="00DD11B2"/>
    <w:pPr>
      <w:keepNext/>
      <w:keepLines/>
      <w:spacing w:before="360"/>
      <w:jc w:val="center"/>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EA2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3F6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48"/>
    <w:pPr>
      <w:tabs>
        <w:tab w:val="center" w:pos="4320"/>
        <w:tab w:val="right" w:pos="8640"/>
      </w:tabs>
    </w:pPr>
    <w:rPr>
      <w:rFonts w:ascii="Helvetica Neue" w:eastAsiaTheme="minorEastAsia" w:hAnsi="Helvetica Neue"/>
      <w:szCs w:val="24"/>
    </w:rPr>
  </w:style>
  <w:style w:type="character" w:customStyle="1" w:styleId="HeaderChar">
    <w:name w:val="Header Char"/>
    <w:basedOn w:val="DefaultParagraphFont"/>
    <w:link w:val="Header"/>
    <w:uiPriority w:val="99"/>
    <w:rsid w:val="00706348"/>
  </w:style>
  <w:style w:type="paragraph" w:styleId="Footer">
    <w:name w:val="footer"/>
    <w:basedOn w:val="Normal"/>
    <w:link w:val="FooterChar"/>
    <w:uiPriority w:val="99"/>
    <w:unhideWhenUsed/>
    <w:rsid w:val="001B6864"/>
    <w:pPr>
      <w:tabs>
        <w:tab w:val="center" w:pos="4320"/>
        <w:tab w:val="right" w:pos="8640"/>
      </w:tabs>
      <w:ind w:right="360"/>
    </w:pPr>
    <w:rPr>
      <w:rFonts w:eastAsiaTheme="minorEastAsia"/>
      <w:i/>
      <w:iCs/>
      <w:sz w:val="22"/>
    </w:rPr>
  </w:style>
  <w:style w:type="character" w:customStyle="1" w:styleId="FooterChar">
    <w:name w:val="Footer Char"/>
    <w:basedOn w:val="DefaultParagraphFont"/>
    <w:link w:val="Footer"/>
    <w:uiPriority w:val="99"/>
    <w:rsid w:val="001B6864"/>
    <w:rPr>
      <w:rFonts w:ascii="Times New Roman" w:hAnsi="Times New Roman"/>
      <w:i/>
      <w:iCs/>
      <w:sz w:val="22"/>
      <w:szCs w:val="22"/>
    </w:rPr>
  </w:style>
  <w:style w:type="table" w:styleId="TableGrid">
    <w:name w:val="Table Grid"/>
    <w:basedOn w:val="TableNormal"/>
    <w:uiPriority w:val="39"/>
    <w:rsid w:val="009010FB"/>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B6864"/>
    <w:rPr>
      <w:rFonts w:ascii="Times New Roman" w:hAnsi="Times New Roman"/>
      <w:sz w:val="22"/>
      <w:szCs w:val="22"/>
    </w:rPr>
  </w:style>
  <w:style w:type="character" w:styleId="Hyperlink">
    <w:name w:val="Hyperlink"/>
    <w:uiPriority w:val="99"/>
    <w:rsid w:val="00565936"/>
    <w:rPr>
      <w:color w:val="0000FF"/>
      <w:u w:val="single"/>
    </w:rPr>
  </w:style>
  <w:style w:type="paragraph" w:styleId="BalloonText">
    <w:name w:val="Balloon Text"/>
    <w:basedOn w:val="Normal"/>
    <w:link w:val="BalloonTextChar"/>
    <w:uiPriority w:val="99"/>
    <w:semiHidden/>
    <w:unhideWhenUsed/>
    <w:rsid w:val="0056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936"/>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DD11B2"/>
    <w:rPr>
      <w:rFonts w:ascii="Times New Roman" w:eastAsiaTheme="majorEastAsia" w:hAnsi="Times New Roman" w:cstheme="majorBidi"/>
      <w:b/>
      <w:bCs/>
    </w:rPr>
  </w:style>
  <w:style w:type="paragraph" w:styleId="BodyText">
    <w:name w:val="Body Text"/>
    <w:basedOn w:val="Normal"/>
    <w:link w:val="BodyTextChar"/>
    <w:uiPriority w:val="99"/>
    <w:unhideWhenUsed/>
    <w:rsid w:val="00013E2B"/>
    <w:pPr>
      <w:spacing w:before="240"/>
    </w:pPr>
  </w:style>
  <w:style w:type="character" w:customStyle="1" w:styleId="BodyTextChar">
    <w:name w:val="Body Text Char"/>
    <w:basedOn w:val="DefaultParagraphFont"/>
    <w:link w:val="BodyText"/>
    <w:uiPriority w:val="99"/>
    <w:rsid w:val="00013E2B"/>
    <w:rPr>
      <w:rFonts w:ascii="Times New Roman" w:eastAsiaTheme="minorHAnsi" w:hAnsi="Times New Roman"/>
      <w:szCs w:val="22"/>
    </w:rPr>
  </w:style>
  <w:style w:type="paragraph" w:customStyle="1" w:styleId="Note">
    <w:name w:val="Note"/>
    <w:basedOn w:val="Heading1"/>
    <w:link w:val="NoteChar"/>
    <w:qFormat/>
    <w:rsid w:val="00051D52"/>
  </w:style>
  <w:style w:type="character" w:customStyle="1" w:styleId="NoteChar">
    <w:name w:val="Note Char"/>
    <w:basedOn w:val="Heading1Char"/>
    <w:link w:val="Note"/>
    <w:rsid w:val="00051D52"/>
    <w:rPr>
      <w:rFonts w:ascii="Times New Roman" w:eastAsiaTheme="majorEastAsia" w:hAnsi="Times New Roman" w:cstheme="majorBidi"/>
      <w:b/>
      <w:bCs/>
      <w:u w:val="single"/>
    </w:rPr>
  </w:style>
  <w:style w:type="paragraph" w:styleId="ListParagraph">
    <w:name w:val="List Paragraph"/>
    <w:basedOn w:val="Normal"/>
    <w:uiPriority w:val="34"/>
    <w:qFormat/>
    <w:rsid w:val="00D82641"/>
    <w:pPr>
      <w:ind w:left="720"/>
      <w:contextualSpacing/>
    </w:pPr>
  </w:style>
  <w:style w:type="paragraph" w:styleId="Revision">
    <w:name w:val="Revision"/>
    <w:hidden/>
    <w:uiPriority w:val="99"/>
    <w:semiHidden/>
    <w:rsid w:val="006D6BA5"/>
    <w:rPr>
      <w:rFonts w:ascii="Times New Roman" w:eastAsiaTheme="minorHAnsi" w:hAnsi="Times New Roman"/>
      <w:szCs w:val="22"/>
    </w:rPr>
  </w:style>
  <w:style w:type="paragraph" w:styleId="Title">
    <w:name w:val="Title"/>
    <w:basedOn w:val="Normal"/>
    <w:next w:val="Normal"/>
    <w:link w:val="TitleChar"/>
    <w:uiPriority w:val="99"/>
    <w:qFormat/>
    <w:rsid w:val="00746AA8"/>
    <w:pPr>
      <w:contextualSpacing/>
      <w:jc w:val="center"/>
    </w:pPr>
    <w:rPr>
      <w:rFonts w:eastAsiaTheme="majorEastAsia" w:cstheme="majorBidi"/>
      <w:b/>
      <w:spacing w:val="5"/>
      <w:kern w:val="28"/>
      <w:szCs w:val="24"/>
    </w:rPr>
  </w:style>
  <w:style w:type="character" w:customStyle="1" w:styleId="TitleChar">
    <w:name w:val="Title Char"/>
    <w:basedOn w:val="DefaultParagraphFont"/>
    <w:link w:val="Title"/>
    <w:uiPriority w:val="99"/>
    <w:rsid w:val="00746AA8"/>
    <w:rPr>
      <w:rFonts w:ascii="Times New Roman" w:eastAsiaTheme="majorEastAsia" w:hAnsi="Times New Roman" w:cstheme="majorBidi"/>
      <w:b/>
      <w:spacing w:val="5"/>
      <w:kern w:val="28"/>
    </w:rPr>
  </w:style>
  <w:style w:type="paragraph" w:styleId="NormalWeb">
    <w:name w:val="Normal (Web)"/>
    <w:basedOn w:val="Normal"/>
    <w:uiPriority w:val="99"/>
    <w:semiHidden/>
    <w:unhideWhenUsed/>
    <w:rsid w:val="00D64D77"/>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64D77"/>
  </w:style>
  <w:style w:type="character" w:styleId="Emphasis">
    <w:name w:val="Emphasis"/>
    <w:basedOn w:val="DefaultParagraphFont"/>
    <w:uiPriority w:val="20"/>
    <w:qFormat/>
    <w:rsid w:val="00D64D77"/>
    <w:rPr>
      <w:i/>
      <w:iCs/>
    </w:rPr>
  </w:style>
  <w:style w:type="paragraph" w:customStyle="1" w:styleId="ResPublications">
    <w:name w:val="Res Publications"/>
    <w:link w:val="ResPublicationsChar"/>
    <w:rsid w:val="00D64D77"/>
    <w:pPr>
      <w:spacing w:after="240"/>
      <w:ind w:left="720" w:hanging="720"/>
    </w:pPr>
    <w:rPr>
      <w:rFonts w:ascii="Times New Roman" w:eastAsia="Times New Roman" w:hAnsi="Times New Roman" w:cs="Times New Roman"/>
      <w:szCs w:val="20"/>
    </w:rPr>
  </w:style>
  <w:style w:type="character" w:customStyle="1" w:styleId="ResPublicationsChar">
    <w:name w:val="Res Publications Char"/>
    <w:basedOn w:val="DefaultParagraphFont"/>
    <w:link w:val="ResPublications"/>
    <w:rsid w:val="00D64D7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202C6"/>
    <w:rPr>
      <w:sz w:val="16"/>
      <w:szCs w:val="16"/>
    </w:rPr>
  </w:style>
  <w:style w:type="paragraph" w:styleId="CommentText">
    <w:name w:val="annotation text"/>
    <w:basedOn w:val="Normal"/>
    <w:link w:val="CommentTextChar"/>
    <w:uiPriority w:val="99"/>
    <w:semiHidden/>
    <w:unhideWhenUsed/>
    <w:rsid w:val="00A202C6"/>
    <w:rPr>
      <w:sz w:val="20"/>
      <w:szCs w:val="20"/>
    </w:rPr>
  </w:style>
  <w:style w:type="character" w:customStyle="1" w:styleId="CommentTextChar">
    <w:name w:val="Comment Text Char"/>
    <w:basedOn w:val="DefaultParagraphFont"/>
    <w:link w:val="CommentText"/>
    <w:uiPriority w:val="99"/>
    <w:semiHidden/>
    <w:rsid w:val="00A202C6"/>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A202C6"/>
    <w:rPr>
      <w:b/>
      <w:bCs/>
    </w:rPr>
  </w:style>
  <w:style w:type="character" w:customStyle="1" w:styleId="CommentSubjectChar">
    <w:name w:val="Comment Subject Char"/>
    <w:basedOn w:val="CommentTextChar"/>
    <w:link w:val="CommentSubject"/>
    <w:uiPriority w:val="99"/>
    <w:semiHidden/>
    <w:rsid w:val="00A202C6"/>
    <w:rPr>
      <w:rFonts w:ascii="Times New Roman" w:eastAsiaTheme="minorHAnsi" w:hAnsi="Times New Roman"/>
      <w:b/>
      <w:bCs/>
      <w:sz w:val="20"/>
      <w:szCs w:val="20"/>
    </w:rPr>
  </w:style>
  <w:style w:type="paragraph" w:styleId="EndnoteText">
    <w:name w:val="endnote text"/>
    <w:basedOn w:val="Normal"/>
    <w:link w:val="EndnoteTextChar"/>
    <w:uiPriority w:val="99"/>
    <w:semiHidden/>
    <w:unhideWhenUsed/>
    <w:rsid w:val="00343D99"/>
    <w:rPr>
      <w:szCs w:val="24"/>
    </w:rPr>
  </w:style>
  <w:style w:type="paragraph" w:styleId="BodyTextIndent">
    <w:name w:val="Body Text Indent"/>
    <w:basedOn w:val="Normal"/>
    <w:link w:val="BodyTextIndentChar"/>
    <w:uiPriority w:val="99"/>
    <w:unhideWhenUsed/>
    <w:rsid w:val="00343D99"/>
    <w:pPr>
      <w:tabs>
        <w:tab w:val="left" w:pos="1440"/>
      </w:tabs>
      <w:spacing w:line="480" w:lineRule="auto"/>
      <w:ind w:left="720"/>
    </w:pPr>
  </w:style>
  <w:style w:type="character" w:customStyle="1" w:styleId="BodyTextIndentChar">
    <w:name w:val="Body Text Indent Char"/>
    <w:basedOn w:val="DefaultParagraphFont"/>
    <w:link w:val="BodyTextIndent"/>
    <w:uiPriority w:val="99"/>
    <w:rsid w:val="00343D99"/>
    <w:rPr>
      <w:rFonts w:ascii="Times New Roman" w:eastAsiaTheme="minorHAnsi" w:hAnsi="Times New Roman"/>
      <w:szCs w:val="22"/>
    </w:rPr>
  </w:style>
  <w:style w:type="character" w:customStyle="1" w:styleId="EndnoteTextChar">
    <w:name w:val="Endnote Text Char"/>
    <w:basedOn w:val="DefaultParagraphFont"/>
    <w:link w:val="EndnoteText"/>
    <w:uiPriority w:val="99"/>
    <w:semiHidden/>
    <w:rsid w:val="00343D99"/>
    <w:rPr>
      <w:rFonts w:ascii="Times New Roman" w:eastAsiaTheme="minorHAnsi" w:hAnsi="Times New Roman"/>
    </w:rPr>
  </w:style>
  <w:style w:type="character" w:styleId="EndnoteReference">
    <w:name w:val="endnote reference"/>
    <w:uiPriority w:val="99"/>
    <w:semiHidden/>
    <w:unhideWhenUsed/>
    <w:rsid w:val="00343D99"/>
    <w:rPr>
      <w:vertAlign w:val="superscript"/>
    </w:rPr>
  </w:style>
  <w:style w:type="paragraph" w:styleId="ListBullet">
    <w:name w:val="List Bullet"/>
    <w:basedOn w:val="Normal"/>
    <w:uiPriority w:val="99"/>
    <w:unhideWhenUsed/>
    <w:rsid w:val="001371B0"/>
    <w:pPr>
      <w:numPr>
        <w:numId w:val="1"/>
      </w:numPr>
      <w:tabs>
        <w:tab w:val="clear" w:pos="360"/>
        <w:tab w:val="num" w:pos="180"/>
      </w:tabs>
      <w:ind w:left="180" w:hanging="180"/>
      <w:contextualSpacing/>
    </w:pPr>
  </w:style>
  <w:style w:type="paragraph" w:styleId="ListNumber">
    <w:name w:val="List Number"/>
    <w:basedOn w:val="Normal"/>
    <w:uiPriority w:val="99"/>
    <w:unhideWhenUsed/>
    <w:rsid w:val="00DA3378"/>
    <w:pPr>
      <w:numPr>
        <w:numId w:val="2"/>
      </w:numPr>
      <w:tabs>
        <w:tab w:val="clear" w:pos="360"/>
        <w:tab w:val="num" w:pos="720"/>
      </w:tabs>
      <w:spacing w:before="240"/>
      <w:ind w:left="720"/>
      <w:contextualSpacing/>
    </w:pPr>
  </w:style>
  <w:style w:type="paragraph" w:styleId="NoSpacing">
    <w:name w:val="No Spacing"/>
    <w:uiPriority w:val="1"/>
    <w:qFormat/>
    <w:rsid w:val="0067113A"/>
    <w:rPr>
      <w:rFonts w:ascii="Calibri" w:eastAsia="Calibri" w:hAnsi="Calibri" w:cs="Times New Roman"/>
      <w:sz w:val="22"/>
      <w:szCs w:val="22"/>
    </w:rPr>
  </w:style>
  <w:style w:type="paragraph" w:styleId="PlainText">
    <w:name w:val="Plain Text"/>
    <w:basedOn w:val="Normal"/>
    <w:link w:val="PlainTextChar"/>
    <w:rsid w:val="0067113A"/>
    <w:rPr>
      <w:rFonts w:ascii="Courier" w:eastAsia="Calibri" w:hAnsi="Courier" w:cs="Times New Roman"/>
      <w:szCs w:val="24"/>
    </w:rPr>
  </w:style>
  <w:style w:type="character" w:customStyle="1" w:styleId="PlainTextChar">
    <w:name w:val="Plain Text Char"/>
    <w:basedOn w:val="DefaultParagraphFont"/>
    <w:link w:val="PlainText"/>
    <w:rsid w:val="0067113A"/>
    <w:rPr>
      <w:rFonts w:ascii="Courier" w:eastAsia="Calibri" w:hAnsi="Courier" w:cs="Times New Roman"/>
    </w:rPr>
  </w:style>
  <w:style w:type="paragraph" w:customStyle="1" w:styleId="TableText">
    <w:name w:val="Table Text"/>
    <w:basedOn w:val="BodyText"/>
    <w:link w:val="TableTextChar"/>
    <w:qFormat/>
    <w:rsid w:val="00954AA2"/>
    <w:pPr>
      <w:spacing w:before="0"/>
      <w:ind w:left="274" w:hanging="274"/>
    </w:pPr>
    <w:rPr>
      <w:szCs w:val="24"/>
    </w:rPr>
  </w:style>
  <w:style w:type="character" w:customStyle="1" w:styleId="TableTextChar">
    <w:name w:val="Table Text Char"/>
    <w:basedOn w:val="BodyTextChar"/>
    <w:link w:val="TableText"/>
    <w:rsid w:val="00954AA2"/>
    <w:rPr>
      <w:rFonts w:ascii="Times New Roman" w:eastAsiaTheme="minorHAnsi" w:hAnsi="Times New Roman"/>
      <w:szCs w:val="22"/>
    </w:rPr>
  </w:style>
  <w:style w:type="paragraph" w:customStyle="1" w:styleId="TableText2">
    <w:name w:val="Table Text 2"/>
    <w:basedOn w:val="TableText"/>
    <w:qFormat/>
    <w:rsid w:val="00932AC7"/>
    <w:pPr>
      <w:ind w:left="0" w:firstLine="0"/>
    </w:pPr>
  </w:style>
  <w:style w:type="paragraph" w:customStyle="1" w:styleId="FigureHeading">
    <w:name w:val="Figure Heading"/>
    <w:basedOn w:val="BodyText"/>
    <w:link w:val="FigureHeadingChar"/>
    <w:qFormat/>
    <w:rsid w:val="00AE6604"/>
    <w:pPr>
      <w:spacing w:after="120"/>
    </w:pPr>
    <w:rPr>
      <w:b/>
      <w:szCs w:val="24"/>
    </w:rPr>
  </w:style>
  <w:style w:type="character" w:customStyle="1" w:styleId="FigureHeadingChar">
    <w:name w:val="Figure Heading Char"/>
    <w:basedOn w:val="BodyTextChar"/>
    <w:link w:val="FigureHeading"/>
    <w:rsid w:val="00AE6604"/>
    <w:rPr>
      <w:rFonts w:ascii="Times New Roman" w:eastAsiaTheme="minorHAnsi" w:hAnsi="Times New Roman"/>
      <w:b/>
      <w:szCs w:val="22"/>
    </w:rPr>
  </w:style>
  <w:style w:type="paragraph" w:customStyle="1" w:styleId="MainHeading">
    <w:name w:val="Main Heading"/>
    <w:basedOn w:val="Normal"/>
    <w:link w:val="MainHeadingChar"/>
    <w:qFormat/>
    <w:rsid w:val="00B32575"/>
    <w:pPr>
      <w:tabs>
        <w:tab w:val="decimal" w:pos="7920"/>
        <w:tab w:val="right" w:pos="8100"/>
        <w:tab w:val="right" w:pos="8640"/>
      </w:tabs>
      <w:jc w:val="center"/>
    </w:pPr>
    <w:rPr>
      <w:rFonts w:eastAsiaTheme="minorEastAsia" w:cs="Times New Roman"/>
      <w:b/>
      <w:szCs w:val="24"/>
      <w:lang w:eastAsia="ja-JP"/>
    </w:rPr>
  </w:style>
  <w:style w:type="paragraph" w:customStyle="1" w:styleId="Paragraph1">
    <w:name w:val="Paragraph 1"/>
    <w:basedOn w:val="Normal"/>
    <w:autoRedefine/>
    <w:qFormat/>
    <w:rsid w:val="008C76C1"/>
    <w:pPr>
      <w:spacing w:line="480" w:lineRule="auto"/>
      <w:ind w:right="-180" w:firstLine="540"/>
    </w:pPr>
    <w:rPr>
      <w:rFonts w:eastAsiaTheme="minorEastAsia" w:cs="Times New Roman"/>
      <w:szCs w:val="24"/>
      <w:lang w:eastAsia="ja-JP"/>
    </w:rPr>
  </w:style>
  <w:style w:type="paragraph" w:customStyle="1" w:styleId="Subhead1">
    <w:name w:val="Subhead 1"/>
    <w:basedOn w:val="Normal"/>
    <w:qFormat/>
    <w:rsid w:val="00B32575"/>
    <w:rPr>
      <w:rFonts w:eastAsiaTheme="minorEastAsia" w:cs="Times New Roman"/>
      <w:b/>
      <w:szCs w:val="24"/>
      <w:lang w:eastAsia="ja-JP"/>
    </w:rPr>
  </w:style>
  <w:style w:type="character" w:styleId="FollowedHyperlink">
    <w:name w:val="FollowedHyperlink"/>
    <w:basedOn w:val="DefaultParagraphFont"/>
    <w:uiPriority w:val="99"/>
    <w:semiHidden/>
    <w:unhideWhenUsed/>
    <w:rsid w:val="00466A83"/>
    <w:rPr>
      <w:color w:val="800080" w:themeColor="followedHyperlink"/>
      <w:u w:val="single"/>
    </w:rPr>
  </w:style>
  <w:style w:type="paragraph" w:customStyle="1" w:styleId="References">
    <w:name w:val="References"/>
    <w:basedOn w:val="Paragraph1"/>
    <w:qFormat/>
    <w:rsid w:val="00B00725"/>
    <w:pPr>
      <w:spacing w:before="240" w:line="240" w:lineRule="auto"/>
      <w:ind w:right="0" w:firstLine="0"/>
    </w:pPr>
  </w:style>
  <w:style w:type="character" w:customStyle="1" w:styleId="Heading2Char">
    <w:name w:val="Heading 2 Char"/>
    <w:basedOn w:val="DefaultParagraphFont"/>
    <w:link w:val="Heading2"/>
    <w:uiPriority w:val="9"/>
    <w:rsid w:val="00EA26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3F66"/>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2F35C0"/>
    <w:rPr>
      <w:b/>
      <w:bCs/>
      <w:smallCaps/>
      <w:color w:val="4F81BD" w:themeColor="accent1"/>
      <w:spacing w:val="5"/>
    </w:rPr>
  </w:style>
  <w:style w:type="paragraph" w:customStyle="1" w:styleId="BalesHeading1">
    <w:name w:val="BalesHeading1"/>
    <w:basedOn w:val="MainHeading"/>
    <w:link w:val="BalesHeading1Char"/>
    <w:qFormat/>
    <w:rsid w:val="002119E7"/>
    <w:pPr>
      <w:spacing w:before="240" w:after="120" w:line="520" w:lineRule="exact"/>
      <w:jc w:val="left"/>
    </w:pPr>
    <w:rPr>
      <w:rFonts w:ascii="Microsoft JhengHei Light" w:eastAsia="Microsoft JhengHei Light" w:hAnsi="Microsoft JhengHei Light"/>
      <w:smallCaps/>
      <w:color w:val="003DA5"/>
      <w:sz w:val="44"/>
      <w:szCs w:val="44"/>
    </w:rPr>
  </w:style>
  <w:style w:type="paragraph" w:customStyle="1" w:styleId="BalesHeading2">
    <w:name w:val="BalesHeading2"/>
    <w:basedOn w:val="Heading2"/>
    <w:link w:val="BalesHeading2Char"/>
    <w:qFormat/>
    <w:rsid w:val="002119E7"/>
    <w:pPr>
      <w:spacing w:before="120" w:after="120"/>
    </w:pPr>
    <w:rPr>
      <w:rFonts w:ascii="Microsoft JhengHei Light" w:eastAsia="Microsoft JhengHei Light" w:hAnsi="Microsoft JhengHei Light"/>
      <w:color w:val="003DA5"/>
      <w:sz w:val="28"/>
      <w:szCs w:val="28"/>
    </w:rPr>
  </w:style>
  <w:style w:type="character" w:customStyle="1" w:styleId="MainHeadingChar">
    <w:name w:val="Main Heading Char"/>
    <w:basedOn w:val="DefaultParagraphFont"/>
    <w:link w:val="MainHeading"/>
    <w:rsid w:val="00673D4F"/>
    <w:rPr>
      <w:rFonts w:ascii="Times New Roman" w:hAnsi="Times New Roman" w:cs="Times New Roman"/>
      <w:b/>
      <w:lang w:eastAsia="ja-JP"/>
    </w:rPr>
  </w:style>
  <w:style w:type="character" w:customStyle="1" w:styleId="BalesHeading1Char">
    <w:name w:val="BalesHeading1 Char"/>
    <w:basedOn w:val="MainHeadingChar"/>
    <w:link w:val="BalesHeading1"/>
    <w:rsid w:val="002119E7"/>
    <w:rPr>
      <w:rFonts w:ascii="Microsoft JhengHei Light" w:eastAsia="Microsoft JhengHei Light" w:hAnsi="Microsoft JhengHei Light" w:cs="Times New Roman"/>
      <w:b/>
      <w:smallCaps/>
      <w:color w:val="003DA5"/>
      <w:sz w:val="44"/>
      <w:szCs w:val="44"/>
      <w:lang w:eastAsia="ja-JP"/>
    </w:rPr>
  </w:style>
  <w:style w:type="character" w:customStyle="1" w:styleId="BalesHeading2Char">
    <w:name w:val="BalesHeading2 Char"/>
    <w:basedOn w:val="Heading2Char"/>
    <w:link w:val="BalesHeading2"/>
    <w:rsid w:val="002119E7"/>
    <w:rPr>
      <w:rFonts w:ascii="Microsoft JhengHei Light" w:eastAsia="Microsoft JhengHei Light" w:hAnsi="Microsoft JhengHei Light" w:cstheme="majorBidi"/>
      <w:color w:val="003DA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8905">
      <w:bodyDiv w:val="1"/>
      <w:marLeft w:val="0"/>
      <w:marRight w:val="0"/>
      <w:marTop w:val="0"/>
      <w:marBottom w:val="0"/>
      <w:divBdr>
        <w:top w:val="none" w:sz="0" w:space="0" w:color="auto"/>
        <w:left w:val="none" w:sz="0" w:space="0" w:color="auto"/>
        <w:bottom w:val="none" w:sz="0" w:space="0" w:color="auto"/>
        <w:right w:val="none" w:sz="0" w:space="0" w:color="auto"/>
      </w:divBdr>
    </w:div>
    <w:div w:id="696154102">
      <w:bodyDiv w:val="1"/>
      <w:marLeft w:val="0"/>
      <w:marRight w:val="0"/>
      <w:marTop w:val="0"/>
      <w:marBottom w:val="0"/>
      <w:divBdr>
        <w:top w:val="none" w:sz="0" w:space="0" w:color="auto"/>
        <w:left w:val="none" w:sz="0" w:space="0" w:color="auto"/>
        <w:bottom w:val="none" w:sz="0" w:space="0" w:color="auto"/>
        <w:right w:val="none" w:sz="0" w:space="0" w:color="auto"/>
      </w:divBdr>
    </w:div>
    <w:div w:id="706685128">
      <w:bodyDiv w:val="1"/>
      <w:marLeft w:val="0"/>
      <w:marRight w:val="0"/>
      <w:marTop w:val="0"/>
      <w:marBottom w:val="0"/>
      <w:divBdr>
        <w:top w:val="none" w:sz="0" w:space="0" w:color="auto"/>
        <w:left w:val="none" w:sz="0" w:space="0" w:color="auto"/>
        <w:bottom w:val="none" w:sz="0" w:space="0" w:color="auto"/>
        <w:right w:val="none" w:sz="0" w:space="0" w:color="auto"/>
      </w:divBdr>
    </w:div>
    <w:div w:id="708607344">
      <w:bodyDiv w:val="1"/>
      <w:marLeft w:val="0"/>
      <w:marRight w:val="0"/>
      <w:marTop w:val="0"/>
      <w:marBottom w:val="0"/>
      <w:divBdr>
        <w:top w:val="none" w:sz="0" w:space="0" w:color="auto"/>
        <w:left w:val="none" w:sz="0" w:space="0" w:color="auto"/>
        <w:bottom w:val="none" w:sz="0" w:space="0" w:color="auto"/>
        <w:right w:val="none" w:sz="0" w:space="0" w:color="auto"/>
      </w:divBdr>
    </w:div>
    <w:div w:id="738941346">
      <w:bodyDiv w:val="1"/>
      <w:marLeft w:val="0"/>
      <w:marRight w:val="0"/>
      <w:marTop w:val="0"/>
      <w:marBottom w:val="0"/>
      <w:divBdr>
        <w:top w:val="none" w:sz="0" w:space="0" w:color="auto"/>
        <w:left w:val="none" w:sz="0" w:space="0" w:color="auto"/>
        <w:bottom w:val="none" w:sz="0" w:space="0" w:color="auto"/>
        <w:right w:val="none" w:sz="0" w:space="0" w:color="auto"/>
      </w:divBdr>
    </w:div>
    <w:div w:id="1022245897">
      <w:bodyDiv w:val="1"/>
      <w:marLeft w:val="0"/>
      <w:marRight w:val="0"/>
      <w:marTop w:val="0"/>
      <w:marBottom w:val="0"/>
      <w:divBdr>
        <w:top w:val="none" w:sz="0" w:space="0" w:color="auto"/>
        <w:left w:val="none" w:sz="0" w:space="0" w:color="auto"/>
        <w:bottom w:val="none" w:sz="0" w:space="0" w:color="auto"/>
        <w:right w:val="none" w:sz="0" w:space="0" w:color="auto"/>
      </w:divBdr>
      <w:divsChild>
        <w:div w:id="438566997">
          <w:marLeft w:val="0"/>
          <w:marRight w:val="0"/>
          <w:marTop w:val="0"/>
          <w:marBottom w:val="0"/>
          <w:divBdr>
            <w:top w:val="none" w:sz="0" w:space="0" w:color="auto"/>
            <w:left w:val="none" w:sz="0" w:space="0" w:color="auto"/>
            <w:bottom w:val="none" w:sz="0" w:space="0" w:color="auto"/>
            <w:right w:val="none" w:sz="0" w:space="0" w:color="auto"/>
          </w:divBdr>
          <w:divsChild>
            <w:div w:id="1293445498">
              <w:marLeft w:val="0"/>
              <w:marRight w:val="0"/>
              <w:marTop w:val="0"/>
              <w:marBottom w:val="0"/>
              <w:divBdr>
                <w:top w:val="none" w:sz="0" w:space="0" w:color="auto"/>
                <w:left w:val="none" w:sz="0" w:space="0" w:color="auto"/>
                <w:bottom w:val="none" w:sz="0" w:space="0" w:color="auto"/>
                <w:right w:val="none" w:sz="0" w:space="0" w:color="auto"/>
              </w:divBdr>
              <w:divsChild>
                <w:div w:id="1333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sagepub.com/content/spsgo/3/4/2158244013503834.full.pdf" TargetMode="External"/><Relationship Id="rId18" Type="http://schemas.openxmlformats.org/officeDocument/2006/relationships/hyperlink" Target="http://www.act.org/content/dam/act/unsecured/documents/ACT_RR2014-5.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thf_media.s3.amazonaws.com/2014/pdf/CPI_DP17.pdf" TargetMode="External"/><Relationship Id="rId7" Type="http://schemas.openxmlformats.org/officeDocument/2006/relationships/endnotes" Target="endnotes.xml"/><Relationship Id="rId12" Type="http://schemas.openxmlformats.org/officeDocument/2006/relationships/hyperlink" Target="http://www.jstor.org/stable/40364516" TargetMode="External"/><Relationship Id="rId17" Type="http://schemas.openxmlformats.org/officeDocument/2006/relationships/hyperlink" Target="https://www.achieve.org/files/Identifying-Potential-Dropout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ducation.stateuniversity.com/pages/2383/Rural-Education.html" TargetMode="External"/><Relationship Id="rId20" Type="http://schemas.openxmlformats.org/officeDocument/2006/relationships/hyperlink" Target="http://dropoutprevention.org/wp-content/uploads/2017/06/NDPCN_15_effective_strategi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1064411"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ropoutprevention.org/resources/major-research-reports/dropout-risk-factors-and-exemplary-programs-a-technical-report/"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www.actforyouth.net/resources/rf/rf_brain_0502.cfm" TargetMode="External"/><Relationship Id="rId19" Type="http://schemas.openxmlformats.org/officeDocument/2006/relationships/hyperlink" Target="https://nces.ed.gov/ccd/tables/ACGR_RE_and_characteristics_2013-14.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pcenter.org/adol_sdpe.htm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401285-F002-4D17-BAEB-2ED6B2B9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3695</Words>
  <Characters>22394</Characters>
  <Application>Microsoft Office Word</Application>
  <DocSecurity>0</DocSecurity>
  <Lines>457</Lines>
  <Paragraphs>232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Rural Impact</vt:lpstr>
      <vt:lpstr>    Rural Impact</vt:lpstr>
      <vt:lpstr>    Rural Impact</vt:lpstr>
      <vt:lpstr>    An Example of Utilizing the Faith Community in the Rural Context</vt:lpstr>
      <vt:lpstr>    Rural Impact</vt:lpstr>
      <vt:lpstr>    Rural Impact</vt:lpstr>
      <vt:lpstr>    Rural Impact</vt:lpstr>
      <vt:lpstr>    Rural Impact</vt:lpstr>
    </vt:vector>
  </TitlesOfParts>
  <Company>American Institutes for Research</Company>
  <LinksUpToDate>false</LinksUpToDate>
  <CharactersWithSpaces>25857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Arnold</dc:creator>
  <cp:lastModifiedBy>Cairen Withington</cp:lastModifiedBy>
  <cp:revision>8</cp:revision>
  <cp:lastPrinted>2017-07-17T18:27:00Z</cp:lastPrinted>
  <dcterms:created xsi:type="dcterms:W3CDTF">2017-09-01T15:50:00Z</dcterms:created>
  <dcterms:modified xsi:type="dcterms:W3CDTF">2017-09-05T17:28:00Z</dcterms:modified>
</cp:coreProperties>
</file>